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Corporate Finance</w:t>
      </w:r>
    </w:p>
    <w:p>
      <w:pPr>
        <w:spacing w:after="900"/>
        <w:jc w:val="center"/>
      </w:pPr>
      <w:r>
        <w:rPr>
          <w:i/>
          <w:iCs/>
          <w:color w:val="333333"/>
          <w:sz w:val="25"/>
          <w:szCs w:val="25"/>
        </w:rPr>
        <w:t xml:space="preserve">NYU Stern's Aswath Damodaran on the first principles of corporate finance.</w:t>
      </w:r>
    </w:p>
    <w:p>
      <w:pPr>
        <w:spacing w:after="3200"/>
        <w:jc w:val="center"/>
      </w:pPr>
      <w:r>
        <w:rPr>
          <w:rFonts w:ascii="Arial" w:cs="Arial" w:eastAsia="Arial" w:hAnsi="Arial"/>
          <w:color w:val="444444"/>
          <w:spacing w:val="36"/>
          <w:sz w:val="17"/>
          <w:szCs w:val="17"/>
        </w:rPr>
        <w:t xml:space="preserve">Finance &amp; Investing   ·   Intermediate   ·   4 Modules   ·   35 hr 49 min</w:t>
      </w:r>
    </w:p>
    <w:p>
      <w:pPr>
        <w:spacing w:after="160"/>
        <w:jc w:val="center"/>
      </w:pPr>
      <w:r>
        <w:rPr>
          <w:color w:val="333333"/>
          <w:sz w:val="19"/>
          <w:szCs w:val="19"/>
        </w:rPr>
        <w:t xml:space="preserve">Course by Aswath Damodaran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Corporate Finance: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"Corporate Finance", taught by Aswath Damodaran.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megacourse.app/courses/corporate-finance</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"Corporate Finance," a comprehensive course taught by Aswath Damodaran of NYU Stern. This program grounds you in the first principles of corporate finance, providing a solid framework for financial decision-making.</w:t>
      </w:r>
    </w:p>
    <w:p>
      <w:pPr>
        <w:spacing w:after="140"/>
      </w:pPr>
      <w:r>
        <w:t xml:space="preserve">Understanding corporate finance is crucial for making sound business decisions and creating real value. These principles apply across various industries and organizational types, from startups to multinational corporations. Mastering them equips you to analyze financial health, evaluate projects, and optimize capital structure.</w:t>
      </w:r>
    </w:p>
    <w:p>
      <w:pPr>
        <w:spacing w:after="140"/>
      </w:pPr>
      <w:r>
        <w:t xml:space="preserve">MegaCourse has organized this extensive material into 4 modules and 27 lessons, totaling about 35 hours and 49 minutes of instruction. We provide a clear structure, track your progress, and offer a shareable certificate upon completion.</w:t>
      </w:r>
    </w:p>
    <w:p>
      <w:pPr>
        <w:spacing w:after="140"/>
      </w:pPr>
      <w:r>
        <w:t xml:space="preserve">This study guide complements Professor Damodaran's video lectures. It helps you grasp complex concepts, reinforce your learning, and apply these principles effectively in real-world scenarios.</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4 modules · 27 lessons</w:t>
      </w:r>
    </w:p>
    <w:p>
      <w:pPr>
        <w:spacing w:after="60"/>
      </w:pPr>
      <w:r>
        <w:rPr>
          <w:rFonts w:ascii="Arial" w:cs="Arial" w:eastAsia="Arial" w:hAnsi="Arial"/>
          <w:b/>
          <w:bCs/>
          <w:sz w:val="18"/>
          <w:szCs w:val="18"/>
        </w:rPr>
        <w:t xml:space="preserve">Video instruction:  </w:t>
      </w:r>
      <w:r>
        <w:rPr>
          <w:sz w:val="20"/>
          <w:szCs w:val="20"/>
        </w:rPr>
        <w:t xml:space="preserve">About 35 hr 49 min</w:t>
      </w:r>
    </w:p>
    <w:p>
      <w:pPr>
        <w:spacing w:after="60"/>
      </w:pPr>
      <w:r>
        <w:rPr>
          <w:rFonts w:ascii="Arial" w:cs="Arial" w:eastAsia="Arial" w:hAnsi="Arial"/>
          <w:b/>
          <w:bCs/>
          <w:sz w:val="18"/>
          <w:szCs w:val="18"/>
        </w:rPr>
        <w:t xml:space="preserve">Level:  </w:t>
      </w:r>
      <w:r>
        <w:rPr>
          <w:sz w:val="20"/>
          <w:szCs w:val="20"/>
        </w:rPr>
        <w:t xml:space="preserve">Intermediate</w:t>
      </w:r>
    </w:p>
    <w:p>
      <w:pPr>
        <w:spacing w:after="60"/>
      </w:pPr>
      <w:r>
        <w:rPr>
          <w:rFonts w:ascii="Arial" w:cs="Arial" w:eastAsia="Arial" w:hAnsi="Arial"/>
          <w:b/>
          <w:bCs/>
          <w:sz w:val="18"/>
          <w:szCs w:val="18"/>
        </w:rPr>
        <w:t xml:space="preserve">Category:  </w:t>
      </w:r>
      <w:r>
        <w:rPr>
          <w:sz w:val="20"/>
          <w:szCs w:val="20"/>
        </w:rPr>
        <w:t xml:space="preserve">Finance &amp; Investing</w:t>
      </w:r>
    </w:p>
    <w:p>
      <w:pPr>
        <w:spacing w:after="60"/>
      </w:pPr>
      <w:r>
        <w:rPr>
          <w:rFonts w:ascii="Arial" w:cs="Arial" w:eastAsia="Arial" w:hAnsi="Arial"/>
          <w:b/>
          <w:bCs/>
          <w:sz w:val="18"/>
          <w:szCs w:val="18"/>
        </w:rPr>
        <w:t xml:space="preserve">Instructor:  </w:t>
      </w:r>
      <w:r>
        <w:rPr>
          <w:sz w:val="20"/>
          <w:szCs w:val="20"/>
        </w:rPr>
        <w:t xml:space="preserve">Aswath Damodaran</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megacourse.app/courses/corporate-finance</w:t>
      </w:r>
    </w:p>
    <w:p>
      <w:pPr>
        <w:pStyle w:val="Heading2"/>
      </w:pPr>
      <w:r>
        <w:t xml:space="preserve">What You Will Learn</w:t>
      </w:r>
    </w:p>
    <w:p>
      <w:pPr>
        <w:pStyle w:val="ListParagraph"/>
        <w:numPr>
          <w:ilvl w:val="0"/>
          <w:numId w:val="1"/>
        </w:numPr>
        <w:spacing w:after="60"/>
      </w:pPr>
      <w:r>
        <w:t xml:space="preserve">Understand the objective and first principles of finance.</w:t>
      </w:r>
    </w:p>
    <w:p>
      <w:pPr>
        <w:pStyle w:val="ListParagraph"/>
        <w:numPr>
          <w:ilvl w:val="0"/>
          <w:numId w:val="1"/>
        </w:numPr>
        <w:spacing w:after="60"/>
      </w:pPr>
      <w:r>
        <w:t xml:space="preserve">Analyze risk, return, and the cost of capital effectively.</w:t>
      </w:r>
    </w:p>
    <w:p>
      <w:pPr>
        <w:pStyle w:val="ListParagraph"/>
        <w:numPr>
          <w:ilvl w:val="0"/>
          <w:numId w:val="1"/>
        </w:numPr>
        <w:spacing w:after="60"/>
      </w:pPr>
      <w:r>
        <w:t xml:space="preserve">Make informed investment, financing, and dividend decisions.</w:t>
      </w:r>
    </w:p>
    <w:p>
      <w:pPr>
        <w:pStyle w:val="ListParagraph"/>
        <w:numPr>
          <w:ilvl w:val="0"/>
          <w:numId w:val="1"/>
        </w:numPr>
        <w:spacing w:after="60"/>
      </w:pPr>
      <w:r>
        <w:t xml:space="preserve">Connect financial theory to real-world value creation scenarios.</w:t>
      </w:r>
    </w:p>
    <w:p>
      <w:pPr>
        <w:pStyle w:val="Heading2"/>
      </w:pPr>
      <w:r>
        <w:t xml:space="preserve">Who This Course Is For</w:t>
      </w:r>
    </w:p>
    <w:p>
      <w:pPr>
        <w:spacing w:after="140"/>
      </w:pPr>
      <w:r>
        <w:t xml:space="preserve">This course is designed for intermediate learners. It suits anyone seeking a rigorous, practical understanding of corporate finance fundamentals. Students in business, economics, or general management will find the material highly beneficial.</w:t>
      </w:r>
    </w:p>
    <w:p>
      <w:pPr>
        <w:spacing w:after="140"/>
      </w:pPr>
      <w:r>
        <w:t xml:space="preserve">While the course material is accessible, a foundational understanding of business concepts will aid your learning. The focus is on practical application of theory.</w:t>
      </w:r>
    </w:p>
    <w:p>
      <w:pPr>
        <w:pStyle w:val="Heading2"/>
      </w:pPr>
      <w:r>
        <w:t xml:space="preserve">Before You Start</w:t>
      </w:r>
    </w:p>
    <w:p>
      <w:pPr>
        <w:pStyle w:val="ListParagraph"/>
        <w:numPr>
          <w:ilvl w:val="0"/>
          <w:numId w:val="1"/>
        </w:numPr>
        <w:spacing w:after="60"/>
      </w:pPr>
      <w:r>
        <w:t xml:space="preserve">Basic accounting knowledge is helpful but not strictly required.</w:t>
      </w:r>
    </w:p>
    <w:p>
      <w:pPr>
        <w:pStyle w:val="ListParagraph"/>
        <w:numPr>
          <w:ilvl w:val="0"/>
          <w:numId w:val="1"/>
        </w:numPr>
        <w:spacing w:after="60"/>
      </w:pPr>
      <w:r>
        <w:t xml:space="preserve">A calculator and spreadsheet software will be useful for practice exercises.</w:t>
      </w:r>
    </w:p>
    <w:p>
      <w:pPr>
        <w:pStyle w:val="ListParagraph"/>
        <w:numPr>
          <w:ilvl w:val="0"/>
          <w:numId w:val="1"/>
        </w:numPr>
        <w:spacing w:after="60"/>
      </w:pPr>
      <w:r>
        <w:t xml:space="preserve">A commitment to consistent study is recommended.</w:t>
      </w:r>
    </w:p>
    <w:p>
      <w:pPr>
        <w:pStyle w:val="Heading2"/>
      </w:pPr>
      <w:r>
        <w:t xml:space="preserve">How to Use This Guide</w:t>
      </w:r>
    </w:p>
    <w:p>
      <w:pPr>
        <w:spacing w:after="140"/>
      </w:pPr>
      <w:r>
        <w:t xml:space="preserve">This study guide works hand-in-hand with the video lectures. First, watch the videos to absorb the core concepts and Professor Damodaran's insights. Then, use this guide to review, reinforce, and practice the material.</w:t>
      </w:r>
    </w:p>
    <w:p>
      <w:pPr>
        <w:spacing w:after="140"/>
      </w:pPr>
      <w:r>
        <w:t xml:space="preserve">The course is structured into 4 modules and 27 lessons. Pace yourself by completing one or two lessons at a time. Work through the examples and exercises provided in this guide. Use the review sections to consolidate your understanding before moving to the next module.</w:t>
      </w:r>
    </w:p>
    <w:p>
      <w:pPr>
        <w:spacing w:after="140"/>
      </w:pPr>
      <w:r>
        <w:t xml:space="preserve">Refer to the glossary for definitions of key terms. This ensures you build a strong vocabulary in corporate finance. Consistent engagement with both the videos and this guide will maximize your learning.</w:t>
      </w:r>
    </w:p>
    <w:p>
      <w:pPr>
        <w:pStyle w:val="Heading1"/>
        <w:pageBreakBefore/>
      </w:pPr>
      <w:r>
        <w:t xml:space="preserve">Chapter 1: Foundations of Corporate Finance</w:t>
      </w:r>
    </w:p>
    <w:p>
      <w:pPr>
        <w:spacing w:after="140"/>
      </w:pPr>
      <w:r>
        <w:t xml:space="preserve">This chapter introduces the fundamental principles of corporate finance. It establishes the core objective of a firm, exploring the roles of shareholders, stakeholders, managers, and markets in achieving that objective. We then transition to the critical concept of risk, laying the groundwork for understanding how risk is measured and priced in financial markets. Mastering these foundational ideas is essential for making sound investment, financing, and dividend decisions.</w:t>
      </w:r>
    </w:p>
    <w:p>
      <w:pPr>
        <w:pStyle w:val="Heading2"/>
      </w:pPr>
      <w:r>
        <w:t xml:space="preserve">The Objective of the Firm and Corporate Governance</w:t>
      </w:r>
    </w:p>
    <w:p>
      <w:pPr>
        <w:spacing w:after="120"/>
      </w:pPr>
      <w:r>
        <w:rPr>
          <w:rFonts w:ascii="Arial" w:cs="Arial" w:eastAsia="Arial" w:hAnsi="Arial"/>
          <w:color w:val="666666"/>
          <w:sz w:val="15"/>
          <w:szCs w:val="15"/>
        </w:rPr>
        <w:t xml:space="preserve">Covers: Introduction to Corporate Finance Class (Short) · Session 1: Introduction to class · Session 2: Shareholders, Stakeholders and the End Game in Business · Session 3: Managers and Markets · Session 4: Closing the Books on the Objective Function</w:t>
      </w:r>
    </w:p>
    <w:p>
      <w:pPr>
        <w:spacing w:after="140"/>
      </w:pPr>
      <w:r>
        <w:t xml:space="preserve">Corporate finance is the study of how companies make financial decisions. These decisions fall into three main categories: investment decisions, financing decisions, and dividend decisions. Investment decisions determine where a firm allocates its capital, such as buying new equipment or expanding into new markets. Financing decisions address how a firm raises capital, whether through debt or equity. Dividend decisions concern how much cash to return to shareholders.</w:t>
      </w:r>
    </w:p>
    <w:p>
      <w:pPr>
        <w:spacing w:after="140"/>
      </w:pPr>
      <w:r>
        <w:t xml:space="preserve">The overarching objective in corporate finance is to maximize shareholder wealth. This means increasing the value of the company's stock. While other objectives, such as maximizing market share, revenue, or customer satisfaction, may seem appealing, they often lack a clear measure of success or can conflict with long-term value creation. Shareholder wealth maximization provides a consistent, measurable goal. It encourages efficient resource allocation and sustainable growth. A company that consistently maximizes shareholder wealth is typically one that also serves its customers, employees, and community effectively over time.</w:t>
      </w:r>
    </w:p>
    <w:p>
      <w:pPr>
        <w:pStyle w:val="Heading4"/>
        <w:spacing w:after="80" w:before="200"/>
      </w:pPr>
      <w:r>
        <w:t xml:space="preserve">Shareholders and Stakeholders</w:t>
      </w:r>
    </w:p>
    <w:p>
      <w:pPr>
        <w:spacing w:after="140"/>
      </w:pPr>
      <w:r>
        <w:t xml:space="preserve">Shareholders are the owners of the company. Their wealth is directly tied to the company's stock price. Stakeholders include a broader group: employees, customers, suppliers, and the community. While a firm's primary objective is shareholder wealth, successful companies often consider stakeholder interests. Happy employees are more productive. Satisfied customers drive sales. Reliable suppliers ensure smooth operations. A good community reputation can attract talent and customers. Ignoring stakeholders can lead to long-term problems that ultimately harm shareholder value. For example, a company that pollakes a local environment may face fines, boycotts, and difficulty recruiting.</w:t>
      </w:r>
    </w:p>
    <w:p>
      <w:pPr>
        <w:pStyle w:val="Heading4"/>
        <w:spacing w:after="80" w:before="200"/>
      </w:pPr>
      <w:r>
        <w:t xml:space="preserve">Managers and Markets</w:t>
      </w:r>
    </w:p>
    <w:p>
      <w:pPr>
        <w:spacing w:after="140"/>
      </w:pPr>
      <w:r>
        <w:t xml:space="preserve">Managers are agents hired by shareholders to run the company. This creates a potential conflict of interest, known as the agency problem. Managers might prioritize their own interests, such as higher salaries or perquisites, over maximizing shareholder wealth. For instance, a manager might pursue a large acquisition that boosts their personal prestige but destroys shareholder value. Markets and corporate governance mechanisms help mitigate these problems.</w:t>
      </w:r>
    </w:p>
    <w:p>
      <w:pPr>
        <w:spacing w:after="140"/>
      </w:pPr>
      <w:r>
        <w:t xml:space="preserve">The stock market provides a constant evaluation of management's decisions. A declining stock price signals disapproval from investors. The market for corporate control, through hostile takeovers, can replace underperforming management. Internal governance mechanisms also play a role. A strong, independent board of directors oversees management. Executive compensation, often tied to stock performance, aligns managers' incentives with those of shareholders. For example, stock options or restricted stock units incentivize managers to increase the company's stock price. These mechanisms work together to ensure that managers remain focused on the primary objective: maximizing shareholder wealth.</w:t>
      </w:r>
    </w:p>
    <w:p>
      <w:pPr>
        <w:pStyle w:val="Heading2"/>
      </w:pPr>
      <w:r>
        <w:t xml:space="preserve">The First Principles of Risk and Return</w:t>
      </w:r>
    </w:p>
    <w:p>
      <w:pPr>
        <w:spacing w:after="120"/>
      </w:pPr>
      <w:r>
        <w:rPr>
          <w:rFonts w:ascii="Arial" w:cs="Arial" w:eastAsia="Arial" w:hAnsi="Arial"/>
          <w:color w:val="666666"/>
          <w:sz w:val="15"/>
          <w:szCs w:val="15"/>
        </w:rPr>
        <w:t xml:space="preserve">Covers: Session 5: Closing the objective function and first steps on risk · Session 6: Risk and Return Models &amp; Risk free Rates · Session 7: Equity Risk Premiums &amp; First steps on betas</w:t>
      </w:r>
    </w:p>
    <w:p>
      <w:pPr>
        <w:spacing w:after="140"/>
      </w:pPr>
      <w:r>
        <w:t xml:space="preserve">After establishing the objective of the firm, we turn to the first principle of finance: the trade-off between risk and return. Investors demand higher expected returns for taking on greater risk. This fundamental concept underpins all valuation and investment decisions. Understanding risk is crucial for accurately estimating the required return on an investment.</w:t>
      </w:r>
    </w:p>
    <w:p>
      <w:pPr>
        <w:pStyle w:val="Heading4"/>
        <w:spacing w:after="80" w:before="200"/>
      </w:pPr>
      <w:r>
        <w:t xml:space="preserve">Defining Risk</w:t>
      </w:r>
    </w:p>
    <w:p>
      <w:pPr>
        <w:spacing w:after="140"/>
      </w:pPr>
      <w:r>
        <w:t xml:space="preserve">In finance, risk refers to the uncertainty of future outcomes or returns. A riskier asset has a wider range of possible returns, including the potential for significant losses. We differentiate between two main types of risk: firm-specific risk and market risk. Firm-specific risk, also called diversifiable risk, affects only a particular company or industry. Examples include a product recall or a labor strike. This risk can be reduced by diversifying a portfolio across many different assets. Market risk, or systematic risk, affects all assets in the market. Examples include interest rate changes, recessions, or political instability. This risk cannot be eliminated through diversification.</w:t>
      </w:r>
    </w:p>
    <w:p>
      <w:pPr>
        <w:pStyle w:val="Heading4"/>
        <w:spacing w:after="80" w:before="200"/>
      </w:pPr>
      <w:r>
        <w:t xml:space="preserve">Risk and Return Models</w:t>
      </w:r>
    </w:p>
    <w:p>
      <w:pPr>
        <w:spacing w:after="140"/>
      </w:pPr>
      <w:r>
        <w:t xml:space="preserve">Financial models quantify the relationship between risk and expected return. A basic model suggests that the expected return on any investment equals the risk-free rate plus a risk premium. The risk premium compensates investors for the specific risk of that investment.</w:t>
      </w:r>
    </w:p>
    <w:p>
      <w:pPr>
        <w:spacing w:after="140"/>
      </w:pPr>
      <w:r>
        <w:t xml:space="preserve">Expected Return = Risk-Free Rate + Risk Premium</w:t>
      </w:r>
    </w:p>
    <w:p>
      <w:pPr>
        <w:pStyle w:val="Heading4"/>
        <w:spacing w:after="80" w:before="200"/>
      </w:pPr>
      <w:r>
        <w:t xml:space="preserve">Risk-Free Rates</w:t>
      </w:r>
    </w:p>
    <w:p>
      <w:pPr>
        <w:spacing w:after="140"/>
      </w:pPr>
      <w:r>
        <w:t xml:space="preserve">The risk-free rate is the theoretical return on an investment with zero risk. In practice, the yield on a long-term government bond, such as a U.S. Treasury bond, is often used as a proxy. A truly risk-free asset must meet two conditions: it must have no default risk, meaning the issuer will certainly pay back the principal and interest, and it must have no reinvestment risk, meaning the interest rate at which interim cash flows can be reinvested is known with certainty. Government bonds of stable economies typically satisfy the first condition. Long-term government bonds also minimize reinvestment risk if held to maturity.</w:t>
      </w:r>
    </w:p>
    <w:p>
      <w:pPr>
        <w:pStyle w:val="Heading4"/>
        <w:spacing w:after="80" w:before="200"/>
      </w:pPr>
      <w:r>
        <w:t xml:space="preserve">Equity Risk Premiums</w:t>
      </w:r>
    </w:p>
    <w:p>
      <w:pPr>
        <w:spacing w:after="140"/>
      </w:pPr>
      <w:r>
        <w:t xml:space="preserve">The equity risk premium (ERP) is the additional return that investors demand for investing in a broad market portfolio of equities over the risk-free rate. It represents the compensation for bearing the systematic risk of the stock market. The ERP can be estimated in two ways: historically, by looking at the average difference between stock market returns and risk-free rates over a long period, or implicitly, by backing it out from current market prices and expected future cash flows.</w:t>
      </w:r>
    </w:p>
    <w:p>
      <w:pPr>
        <w:pStyle w:val="Heading4"/>
        <w:spacing w:after="80" w:before="200"/>
      </w:pPr>
      <w:r>
        <w:t xml:space="preserve">First Steps on Betas</w:t>
      </w:r>
    </w:p>
    <w:p>
      <w:pPr>
        <w:spacing w:after="140"/>
      </w:pPr>
      <w:r>
        <w:t xml:space="preserve">Beta is a measure of an asset's systematic risk. It quantifies how sensitive an asset's return is to changes in the overall market's return. A beta of 1.0 means the asset's price moves with the market. A beta greater than 1.0 indicates the asset is more volatile than the market. A beta less than 1.0 suggests the asset is less volatile. For example, a stock with a beta of 1.2 is expected to rise by 12% if the market rises by 10%, and fall by 12% if the market falls by 10%. Conversely, a stock with a beta of 0.8 would rise by 8% or fall by 8% under the same market movements. Beta is a critical input for calculating the required return on equity, which we will explore further in later chapters.</w:t>
      </w:r>
    </w:p>
    <w:p>
      <w:pPr>
        <w:pStyle w:val="Heading3"/>
      </w:pPr>
      <w:r>
        <w:t xml:space="preserve">Key Takeaways</w:t>
      </w:r>
    </w:p>
    <w:p>
      <w:pPr>
        <w:pStyle w:val="ListParagraph"/>
        <w:numPr>
          <w:ilvl w:val="0"/>
          <w:numId w:val="1"/>
        </w:numPr>
        <w:spacing w:after="60"/>
      </w:pPr>
      <w:r>
        <w:t xml:space="preserve">The primary objective of a firm in corporate finance is to maximize shareholder wealth.</w:t>
      </w:r>
    </w:p>
    <w:p>
      <w:pPr>
        <w:pStyle w:val="ListParagraph"/>
        <w:numPr>
          <w:ilvl w:val="0"/>
          <w:numId w:val="1"/>
        </w:numPr>
        <w:spacing w:after="60"/>
      </w:pPr>
      <w:r>
        <w:t xml:space="preserve">Shareholder wealth maximization provides a clear, measurable, and consistent goal for financial decision-making.</w:t>
      </w:r>
    </w:p>
    <w:p>
      <w:pPr>
        <w:pStyle w:val="ListParagraph"/>
        <w:numPr>
          <w:ilvl w:val="0"/>
          <w:numId w:val="1"/>
        </w:numPr>
        <w:spacing w:after="60"/>
      </w:pPr>
      <w:r>
        <w:t xml:space="preserve">Agency problems arise when managers' interests may not align with shareholders' interests, requiring governance mechanisms to bridge the gap.</w:t>
      </w:r>
    </w:p>
    <w:p>
      <w:pPr>
        <w:pStyle w:val="ListParagraph"/>
        <w:numPr>
          <w:ilvl w:val="0"/>
          <w:numId w:val="1"/>
        </w:numPr>
        <w:spacing w:after="60"/>
      </w:pPr>
      <w:r>
        <w:t xml:space="preserve">Investors demand higher expected returns for taking on greater risk, a fundamental principle in finance.</w:t>
      </w:r>
    </w:p>
    <w:p>
      <w:pPr>
        <w:pStyle w:val="ListParagraph"/>
        <w:numPr>
          <w:ilvl w:val="0"/>
          <w:numId w:val="1"/>
        </w:numPr>
        <w:spacing w:after="60"/>
      </w:pPr>
      <w:r>
        <w:t xml:space="preserve">The risk-free rate represents the return on an investment with no default or reinvestment risk, often proxied by government bond yields.</w:t>
      </w:r>
    </w:p>
    <w:p>
      <w:pPr>
        <w:pStyle w:val="ListParagraph"/>
        <w:numPr>
          <w:ilvl w:val="0"/>
          <w:numId w:val="1"/>
        </w:numPr>
        <w:spacing w:after="60"/>
      </w:pPr>
      <w:r>
        <w:t xml:space="preserve">The equity risk premium is the additional return investors expect for investing in equities over risk-free assets.</w:t>
      </w:r>
    </w:p>
    <w:p>
      <w:pPr>
        <w:pStyle w:val="ListParagraph"/>
        <w:numPr>
          <w:ilvl w:val="0"/>
          <w:numId w:val="1"/>
        </w:numPr>
        <w:spacing w:after="60"/>
      </w:pPr>
      <w:r>
        <w:t xml:space="preserve">Beta measures an asset's systematic risk, indicating its sensitivity to overall market movements.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objective of a firm in corporate finance, and why is it preferred over other objectives like maximizing market share?</w:t>
      </w:r>
    </w:p>
    <w:p>
      <w:pPr>
        <w:spacing w:after="60"/>
      </w:pPr>
      <w:r>
        <w:t xml:space="preserve">2. </w:t>
      </w:r>
      <w:r>
        <w:t xml:space="preserve">Explain the agency problem in the context of corporate finance and provide an example.</w:t>
      </w:r>
    </w:p>
    <w:p>
      <w:pPr>
        <w:spacing w:after="60"/>
      </w:pPr>
      <w:r>
        <w:t xml:space="preserve">3. </w:t>
      </w:r>
      <w:r>
        <w:t xml:space="preserve">How do financial markets and corporate governance mechanisms help mitigate agency problems?</w:t>
      </w:r>
    </w:p>
    <w:p>
      <w:pPr>
        <w:spacing w:after="60"/>
      </w:pPr>
      <w:r>
        <w:t xml:space="preserve">4. </w:t>
      </w:r>
      <w:r>
        <w:t xml:space="preserve">What is the risk-free rate, and what characteristics must an asset possess to be considered truly risk-free?</w:t>
      </w:r>
    </w:p>
    <w:p>
      <w:pPr>
        <w:spacing w:after="60"/>
      </w:pPr>
      <w:r>
        <w:t xml:space="preserve">5. </w:t>
      </w:r>
      <w:r>
        <w:t xml:space="preserve">Define the equity risk premium and explain its significance in investment decisions.</w:t>
      </w:r>
    </w:p>
    <w:p>
      <w:pPr>
        <w:pStyle w:val="Heading1"/>
        <w:pageBreakBefore/>
      </w:pPr>
      <w:r>
        <w:t xml:space="preserve">Chapter 2: Estimating the Cost of Capital and Evaluating Investments</w:t>
      </w:r>
    </w:p>
    <w:p>
      <w:pPr>
        <w:spacing w:after="140"/>
      </w:pPr>
      <w:r>
        <w:t xml:space="preserve">This chapter focuses on the foundational principles of corporate finance: determining the cost of capital and making sound investment decisions. We begin by dissecting the cost of equity, specifically through the lens of beta, a crucial measure of market risk. You will learn how to estimate beta, understand its drivers, and adapt it for various company structures.</w:t>
      </w:r>
    </w:p>
    <w:p>
      <w:pPr>
        <w:spacing w:after="140"/>
      </w:pPr>
      <w:r>
        <w:t xml:space="preserve">Next, the chapter broadens its scope to include the cost of debt, culminating in the calculation of the Weighted Average Cost of Capital (WACC). This metric serves as a benchmark for evaluating potential projects. Finally, we explore the critical process of evaluating investment returns, transitioning from accounting earnings to true incremental cash flows, and applying these concepts to both internal projects and external acquisitions.</w:t>
      </w:r>
    </w:p>
    <w:p>
      <w:pPr>
        <w:pStyle w:val="Heading2"/>
      </w:pPr>
      <w:r>
        <w:t xml:space="preserve">The Cost of Equity: Beta and its Estimation</w:t>
      </w:r>
    </w:p>
    <w:p>
      <w:pPr>
        <w:spacing w:after="120"/>
      </w:pPr>
      <w:r>
        <w:rPr>
          <w:rFonts w:ascii="Arial" w:cs="Arial" w:eastAsia="Arial" w:hAnsi="Arial"/>
          <w:color w:val="666666"/>
          <w:sz w:val="15"/>
          <w:szCs w:val="15"/>
        </w:rPr>
        <w:t xml:space="preserve">Covers: Session 8: The Greeks are here (Regression Beta) · Session 9: Beta Determinants and Bottom up Betas · Session 10: Divisional and Private Company Betas &amp; Costs of Equity</w:t>
      </w:r>
    </w:p>
    <w:p>
      <w:pPr>
        <w:spacing w:after="140"/>
      </w:pPr>
      <w:r>
        <w:t xml:space="preserve">The cost of equity represents the return required by equity investors for bearing the risk of a company's stock. A central component in determining this cost is beta, which measures the non-diversifiable, or market, risk of an investment. Market risk is the risk that cannot be eliminated through diversification. We use the Capital Asset Pricing Model (CAPM) to link risk to expected return:</w:t>
      </w:r>
    </w:p>
    <w:p>
      <w:pPr>
        <w:spacing w:after="140"/>
      </w:pPr>
      <w:r>
        <w:rPr>
          <w:rFonts w:ascii="Consolas" w:cs="Consolas" w:eastAsia="Consolas" w:hAnsi="Consolas"/>
          <w:sz w:val="18"/>
          <w:szCs w:val="18"/>
        </w:rPr>
        <w:t xml:space="preserve">Expected Return = Risk-Free Rate + Beta * Market Risk Premium</w:t>
      </w:r>
    </w:p>
    <w:p>
      <w:pPr>
        <w:pStyle w:val="Heading4"/>
        <w:spacing w:after="80" w:before="200"/>
      </w:pPr>
      <w:r>
        <w:t xml:space="preserve">Estimating Regression Beta</w:t>
      </w:r>
    </w:p>
    <w:p>
      <w:pPr>
        <w:spacing w:after="140"/>
      </w:pPr>
      <w:r>
        <w:t xml:space="preserve">Regression beta is derived by regressing a company's historical stock returns against historical market returns. The slope of this regression line is the beta. A beta of 1 indicates the stock moves with the market. A beta greater than 1 suggests the stock is more volatile than the market, while a beta less than 1 implies less volatility. For example, if the market goes up by 10%, a stock with a beta of 1.5 is expected to go up by 15%. A stock with a beta of 0.8 is expected to go up by 8%.</w:t>
      </w:r>
    </w:p>
    <w:p>
      <w:pPr>
        <w:spacing w:after="140"/>
      </w:pPr>
      <w:r>
        <w:rPr>
          <w:b/>
          <w:bCs/>
        </w:rPr>
        <w:t xml:space="preserve">Common Mistake:</w:t>
      </w:r>
      <w:r>
        <w:t xml:space="preserve"> Relying solely on historical regression beta without considering changes in a company's business mix or financial use can lead to inaccurate estimates. Historical data may not reflect current or future risk profiles.</w:t>
      </w:r>
    </w:p>
    <w:p>
      <w:pPr>
        <w:pStyle w:val="Heading4"/>
        <w:spacing w:after="80" w:before="200"/>
      </w:pPr>
      <w:r>
        <w:t xml:space="preserve">Beta Determinants and Bottom-up Betas</w:t>
      </w:r>
    </w:p>
    <w:p>
      <w:pPr>
        <w:spacing w:after="140"/>
      </w:pPr>
      <w:r>
        <w:t xml:space="preserve">Beta is influenced by three main factors: the type of business (cyclicality), operating use (fixed costs relative to variable costs), and financial use (debt usage). Businesses with higher cyclicality, higher operating use, or higher financial use tend to have higher betas.</w:t>
      </w:r>
    </w:p>
    <w:p>
      <w:pPr>
        <w:spacing w:after="140"/>
      </w:pPr>
      <w:r>
        <w:t xml:space="preserve">Bottom-up beta estimation is often preferred because it is less noisy and more forward-looking. This method involves:</w:t>
      </w:r>
    </w:p>
    <w:p>
      <w:pPr>
        <w:pStyle w:val="ListParagraph"/>
        <w:numPr>
          <w:ilvl w:val="0"/>
          <w:numId w:val="2"/>
        </w:numPr>
        <w:spacing w:after="60"/>
      </w:pPr>
      <w:r>
        <w:t xml:space="preserve">Identifying the industries a company operates in.</w:t>
      </w:r>
    </w:p>
    <w:p>
      <w:pPr>
        <w:pStyle w:val="ListParagraph"/>
        <w:numPr>
          <w:ilvl w:val="0"/>
          <w:numId w:val="2"/>
        </w:numPr>
        <w:spacing w:after="60"/>
      </w:pPr>
      <w:r>
        <w:t xml:space="preserve">Finding publicly traded comparable companies in those industries.</w:t>
      </w:r>
    </w:p>
    <w:p>
      <w:pPr>
        <w:pStyle w:val="ListParagraph"/>
        <w:numPr>
          <w:ilvl w:val="0"/>
          <w:numId w:val="2"/>
        </w:numPr>
        <w:spacing w:after="60"/>
      </w:pPr>
      <w:r>
        <w:t xml:space="preserve">Calculating the average unlevered beta for those comparables. Unlevered beta removes the effect of financial use.
 </w:t>
      </w:r>
      <w:r>
        <w:rPr>
          <w:rFonts w:ascii="Consolas" w:cs="Consolas" w:eastAsia="Consolas" w:hAnsi="Consolas"/>
          <w:sz w:val="18"/>
          <w:szCs w:val="18"/>
        </w:rPr>
        <w:t xml:space="preserve">Unlevered Beta = Levered Beta / (1 + (1 - Tax Rate) * (Debt/Equity))</w:t>
      </w:r>
    </w:p>
    <w:p>
      <w:pPr>
        <w:pStyle w:val="ListParagraph"/>
        <w:numPr>
          <w:ilvl w:val="0"/>
          <w:numId w:val="2"/>
        </w:numPr>
        <w:spacing w:after="60"/>
      </w:pPr>
      <w:r>
        <w:t xml:space="preserve">Relevering the unlevered beta using the target company's current or target debt to equity ratio.
 </w:t>
      </w:r>
      <w:r>
        <w:rPr>
          <w:rFonts w:ascii="Consolas" w:cs="Consolas" w:eastAsia="Consolas" w:hAnsi="Consolas"/>
          <w:sz w:val="18"/>
          <w:szCs w:val="18"/>
        </w:rPr>
        <w:t xml:space="preserve">Levered Beta = Unlevered Beta * (1 + (1 - Tax Rate) * (Debt/Equity))</w:t>
      </w:r>
    </w:p>
    <w:p>
      <w:pPr>
        <w:spacing w:after="140"/>
      </w:pPr>
      <w:r>
        <w:t xml:space="preserve">This approach allows for a more stable and accurate beta, especially for companies undergoing significant changes or for private companies.</w:t>
      </w:r>
    </w:p>
    <w:p>
      <w:pPr>
        <w:pStyle w:val="Heading4"/>
        <w:spacing w:after="80" w:before="200"/>
      </w:pPr>
      <w:r>
        <w:t xml:space="preserve">Divisional and Private Company Betas</w:t>
      </w:r>
    </w:p>
    <w:p>
      <w:pPr>
        <w:spacing w:after="140"/>
      </w:pPr>
      <w:r>
        <w:t xml:space="preserve">For multi-business conglomerates, divisional betas are essential. Each division's cost of equity should reflect its specific business risk. You can estimate a divisional beta by identifying public companies operating solely in that specific industry and calculating their unlevered betas. Then, relever this unlevered industry beta using the division's target financial use.</w:t>
      </w:r>
    </w:p>
    <w:p>
      <w:pPr>
        <w:spacing w:after="140"/>
      </w:pPr>
      <w:r>
        <w:t xml:space="preserve">Private companies, by definition, do not have publicly traded stock, making direct beta calculation impossible. The solution is to use the bottom-up approach. Find comparable public companies, calculate their unlevered betas, and then relever the average unlevered beta using the private company's target debt to equity ratio. This provides a robust estimate for the private company's cost of equity.</w:t>
      </w:r>
    </w:p>
    <w:p>
      <w:pPr>
        <w:spacing w:after="140"/>
      </w:pPr>
      <w:r>
        <w:rPr>
          <w:b/>
          <w:bCs/>
        </w:rPr>
        <w:t xml:space="preserve">Practice Cue:</w:t>
      </w:r>
      <w:r>
        <w:t xml:space="preserve"> Select a public company. Find two or three direct competitors. Calculate the unlevered beta for each competitor. Average these unlevered betas. Then, relever this average beta using your selected company's current debt to equity ratio and tax rate. Compare this bottom-up beta to the company's historical regression beta. Explain any differences.</w:t>
      </w:r>
    </w:p>
    <w:p>
      <w:pPr>
        <w:pStyle w:val="Heading2"/>
      </w:pPr>
      <w:r>
        <w:t xml:space="preserve">The Cost of Capital: Debt, Equity, and WACC</w:t>
      </w:r>
    </w:p>
    <w:p>
      <w:pPr>
        <w:spacing w:after="120"/>
      </w:pPr>
      <w:r>
        <w:rPr>
          <w:rFonts w:ascii="Arial" w:cs="Arial" w:eastAsia="Arial" w:hAnsi="Arial"/>
          <w:color w:val="666666"/>
          <w:sz w:val="15"/>
          <w:szCs w:val="15"/>
        </w:rPr>
        <w:t xml:space="preserve">Covers: Session 11: Costs of Debt and Capital</w:t>
      </w:r>
    </w:p>
    <w:p>
      <w:pPr>
        <w:spacing w:after="140"/>
      </w:pPr>
      <w:r>
        <w:t xml:space="preserve">A company's investments are financed by a mix of equity and debt. The cost of capital is the weighted average of the costs of these different financing sources. It represents the minimum rate of return a company must earn on an investment to satisfy its investors.</w:t>
      </w:r>
    </w:p>
    <w:p>
      <w:pPr>
        <w:pStyle w:val="Heading4"/>
        <w:spacing w:after="80" w:before="200"/>
      </w:pPr>
      <w:r>
        <w:t xml:space="preserve">Estimating the Cost of Debt</w:t>
      </w:r>
    </w:p>
    <w:p>
      <w:pPr>
        <w:spacing w:after="140"/>
      </w:pPr>
      <w:r>
        <w:t xml:space="preserve">The cost of debt is the interest rate a company pays on its borrowings. Since interest payments are tax-deductible, the relevant cost is the after-tax cost of debt. This is calculated as:</w:t>
      </w:r>
    </w:p>
    <w:p>
      <w:pPr>
        <w:spacing w:after="140"/>
      </w:pPr>
      <w:r>
        <w:rPr>
          <w:rFonts w:ascii="Consolas" w:cs="Consolas" w:eastAsia="Consolas" w:hAnsi="Consolas"/>
          <w:sz w:val="18"/>
          <w:szCs w:val="18"/>
        </w:rPr>
        <w:t xml:space="preserve">After-Tax Cost of Debt = Pre-Tax Cost of Debt * (1 - Marginal Tax Rate)</w:t>
      </w:r>
    </w:p>
    <w:p>
      <w:pPr>
        <w:spacing w:after="140"/>
      </w:pPr>
      <w:r>
        <w:t xml:space="preserve">The pre-tax cost of debt can be estimated in several ways:</w:t>
      </w:r>
    </w:p>
    <w:p>
      <w:pPr>
        <w:pStyle w:val="ListParagraph"/>
        <w:numPr>
          <w:ilvl w:val="0"/>
          <w:numId w:val="1"/>
        </w:numPr>
        <w:spacing w:after="60"/>
      </w:pPr>
      <w:r>
        <w:rPr>
          <w:b/>
          <w:bCs/>
        </w:rPr>
        <w:t xml:space="preserve">Yield to Maturity (YTM):</w:t>
      </w:r>
      <w:r>
        <w:t xml:space="preserve"> If the company has publicly traded bonds, the YTM on its long-term debt is the best estimate.</w:t>
      </w:r>
    </w:p>
    <w:p>
      <w:pPr>
        <w:pStyle w:val="ListParagraph"/>
        <w:numPr>
          <w:ilvl w:val="0"/>
          <w:numId w:val="1"/>
        </w:numPr>
        <w:spacing w:after="60"/>
      </w:pPr>
      <w:r>
        <w:rPr>
          <w:b/>
          <w:bCs/>
        </w:rPr>
        <w:t xml:space="preserve">Synthetic Rating:</w:t>
      </w:r>
      <w:r>
        <w:t xml:space="preserve"> For companies without publicly traded debt or a credit rating, a synthetic rating can be assigned based on financial ratios (e.g., interest coverage ratio). This rating is then mapped to a typical default spread for that rating, which is added to the risk-free rate to estimate the pre-tax cost of debt.</w:t>
      </w:r>
    </w:p>
    <w:p>
      <w:pPr>
        <w:pStyle w:val="ListParagraph"/>
        <w:numPr>
          <w:ilvl w:val="0"/>
          <w:numId w:val="1"/>
        </w:numPr>
        <w:spacing w:after="60"/>
      </w:pPr>
      <w:r>
        <w:rPr>
          <w:b/>
          <w:bCs/>
        </w:rPr>
        <w:t xml:space="preserve">Recent Borrowings:</w:t>
      </w:r>
      <w:r>
        <w:t xml:space="preserve"> The interest rate on any recent bank loans or private placements can serve as an estimate.</w:t>
      </w:r>
    </w:p>
    <w:p>
      <w:pPr>
        <w:spacing w:after="140"/>
      </w:pPr>
      <w:r>
        <w:rPr>
          <w:b/>
          <w:bCs/>
        </w:rPr>
        <w:t xml:space="preserve">Example:</w:t>
      </w:r>
      <w:r>
        <w:t xml:space="preserve"> A company has a pre-tax cost of debt of 6.5% and a marginal tax rate of 25%. Its after-tax cost of debt is </w:t>
      </w:r>
      <w:r>
        <w:rPr>
          <w:rFonts w:ascii="Consolas" w:cs="Consolas" w:eastAsia="Consolas" w:hAnsi="Consolas"/>
          <w:sz w:val="18"/>
          <w:szCs w:val="18"/>
        </w:rPr>
        <w:t xml:space="preserve">6.5% * (1 - 0.25) = 4.875%</w:t>
      </w:r>
      <w:r>
        <w:t xml:space="preserve">.</w:t>
      </w:r>
    </w:p>
    <w:p>
      <w:pPr>
        <w:spacing w:after="140"/>
      </w:pPr>
      <w:r>
        <w:rPr>
          <w:b/>
          <w:bCs/>
        </w:rPr>
        <w:t xml:space="preserve">Common Mistake:</w:t>
      </w:r>
      <w:r>
        <w:t xml:space="preserve"> Using the coupon rate on existing debt instead of the yield to maturity. The coupon rate is the contractual interest payment, while YTM reflects the current market rate for the company's debt.</w:t>
      </w:r>
    </w:p>
    <w:p>
      <w:pPr>
        <w:pStyle w:val="Heading4"/>
        <w:spacing w:after="80" w:before="200"/>
      </w:pPr>
      <w:r>
        <w:t xml:space="preserve">Calculating the Weighted Average Cost of Capital (WACC)</w:t>
      </w:r>
    </w:p>
    <w:p>
      <w:pPr>
        <w:spacing w:after="140"/>
      </w:pPr>
      <w:r>
        <w:t xml:space="preserve">The WACC combines the after-tax cost of debt and the cost of equity, weighted by their respective market values in the company's capital structure. The formula is:</w:t>
      </w:r>
    </w:p>
    <w:p>
      <w:pPr>
        <w:spacing w:after="140"/>
      </w:pPr>
      <w:r>
        <w:rPr>
          <w:rFonts w:ascii="Consolas" w:cs="Consolas" w:eastAsia="Consolas" w:hAnsi="Consolas"/>
          <w:sz w:val="18"/>
          <w:szCs w:val="18"/>
        </w:rPr>
        <w:t xml:space="preserve">WACC = (Cost of Equity * (Market Value of Equity / (Market Value of Equity + Market Value of Debt))) + (After-Tax Cost of Debt * (Market Value of Debt / (Market Value of Equity + Market Value of Debt)))</w:t>
      </w:r>
    </w:p>
    <w:p>
      <w:pPr>
        <w:spacing w:after="140"/>
      </w:pPr>
      <w:r>
        <w:t xml:space="preserve">Or, more compactly:</w:t>
      </w:r>
    </w:p>
    <w:p>
      <w:pPr>
        <w:spacing w:after="140"/>
      </w:pPr>
      <w:r>
        <w:rPr>
          <w:rFonts w:ascii="Consolas" w:cs="Consolas" w:eastAsia="Consolas" w:hAnsi="Consolas"/>
          <w:sz w:val="18"/>
          <w:szCs w:val="18"/>
        </w:rPr>
        <w:t xml:space="preserve">WACC = (Ke * E / (D + E)) + (Kd * (1 - t) * D / (D + E))</w:t>
      </w:r>
    </w:p>
    <w:p>
      <w:pPr>
        <w:spacing w:after="140"/>
      </w:pPr>
      <w:r>
        <w:t xml:space="preserve">Where:</w:t>
      </w:r>
    </w:p>
    <w:p>
      <w:pPr>
        <w:pStyle w:val="ListParagraph"/>
        <w:numPr>
          <w:ilvl w:val="0"/>
          <w:numId w:val="1"/>
        </w:numPr>
        <w:spacing w:after="60"/>
      </w:pPr>
      <w:r>
        <w:rPr>
          <w:rFonts w:ascii="Consolas" w:cs="Consolas" w:eastAsia="Consolas" w:hAnsi="Consolas"/>
          <w:sz w:val="18"/>
          <w:szCs w:val="18"/>
        </w:rPr>
        <w:t xml:space="preserve">Ke</w:t>
      </w:r>
      <w:r>
        <w:t xml:space="preserve"> = Cost of Equity</w:t>
      </w:r>
    </w:p>
    <w:p>
      <w:pPr>
        <w:pStyle w:val="ListParagraph"/>
        <w:numPr>
          <w:ilvl w:val="0"/>
          <w:numId w:val="1"/>
        </w:numPr>
        <w:spacing w:after="60"/>
      </w:pPr>
      <w:r>
        <w:rPr>
          <w:rFonts w:ascii="Consolas" w:cs="Consolas" w:eastAsia="Consolas" w:hAnsi="Consolas"/>
          <w:sz w:val="18"/>
          <w:szCs w:val="18"/>
        </w:rPr>
        <w:t xml:space="preserve">E</w:t>
      </w:r>
      <w:r>
        <w:t xml:space="preserve"> = Market Value of Equity</w:t>
      </w:r>
    </w:p>
    <w:p>
      <w:pPr>
        <w:pStyle w:val="ListParagraph"/>
        <w:numPr>
          <w:ilvl w:val="0"/>
          <w:numId w:val="1"/>
        </w:numPr>
        <w:spacing w:after="60"/>
      </w:pPr>
      <w:r>
        <w:rPr>
          <w:rFonts w:ascii="Consolas" w:cs="Consolas" w:eastAsia="Consolas" w:hAnsi="Consolas"/>
          <w:sz w:val="18"/>
          <w:szCs w:val="18"/>
        </w:rPr>
        <w:t xml:space="preserve">Kd</w:t>
      </w:r>
      <w:r>
        <w:t xml:space="preserve"> = Pre-Tax Cost of Debt</w:t>
      </w:r>
    </w:p>
    <w:p>
      <w:pPr>
        <w:pStyle w:val="ListParagraph"/>
        <w:numPr>
          <w:ilvl w:val="0"/>
          <w:numId w:val="1"/>
        </w:numPr>
        <w:spacing w:after="60"/>
      </w:pPr>
      <w:r>
        <w:rPr>
          <w:rFonts w:ascii="Consolas" w:cs="Consolas" w:eastAsia="Consolas" w:hAnsi="Consolas"/>
          <w:sz w:val="18"/>
          <w:szCs w:val="18"/>
        </w:rPr>
        <w:t xml:space="preserve">t</w:t>
      </w:r>
      <w:r>
        <w:t xml:space="preserve"> = Marginal Tax Rate</w:t>
      </w:r>
    </w:p>
    <w:p>
      <w:pPr>
        <w:pStyle w:val="ListParagraph"/>
        <w:numPr>
          <w:ilvl w:val="0"/>
          <w:numId w:val="1"/>
        </w:numPr>
        <w:spacing w:after="60"/>
      </w:pPr>
      <w:r>
        <w:rPr>
          <w:rFonts w:ascii="Consolas" w:cs="Consolas" w:eastAsia="Consolas" w:hAnsi="Consolas"/>
          <w:sz w:val="18"/>
          <w:szCs w:val="18"/>
        </w:rPr>
        <w:t xml:space="preserve">D</w:t>
      </w:r>
      <w:r>
        <w:t xml:space="preserve"> = Market Value of Debt</w:t>
      </w:r>
    </w:p>
    <w:p>
      <w:pPr>
        <w:spacing w:after="140"/>
      </w:pPr>
      <w:r>
        <w:t xml:space="preserve">It is crucial to use </w:t>
      </w:r>
      <w:r>
        <w:rPr>
          <w:i/>
          <w:iCs/>
        </w:rPr>
        <w:t xml:space="preserve">market values</w:t>
      </w:r>
      <w:r>
        <w:t xml:space="preserve"> for equity and debt when calculating the weights, not book values. Book values often do not reflect the current economic value of the company's financing.</w:t>
      </w:r>
    </w:p>
    <w:p>
      <w:pPr>
        <w:spacing w:after="140"/>
      </w:pPr>
      <w:r>
        <w:rPr>
          <w:b/>
          <w:bCs/>
        </w:rPr>
        <w:t xml:space="preserve">Example:</w:t>
      </w:r>
      <w:r>
        <w:t xml:space="preserve"> A company has a cost of equity of 10%, an after-tax cost of debt of 4.875%, a market value of equity of $500 million, and a market value of debt of $200 million.</w:t>
      </w:r>
    </w:p>
    <w:p>
      <w:pPr>
        <w:spacing w:after="140"/>
      </w:pPr>
      <w:r>
        <w:rPr>
          <w:rFonts w:ascii="Consolas" w:cs="Consolas" w:eastAsia="Consolas" w:hAnsi="Consolas"/>
          <w:sz w:val="18"/>
          <w:szCs w:val="18"/>
        </w:rPr>
        <w:t xml:space="preserve">WACC = (0.10 * (500 / (500 + 200))) + (0.04875 * (200 / (500 + 200)))</w:t>
      </w:r>
      <w:r>
        <w:t xml:space="preserve">
</w:t>
      </w:r>
      <w:r>
        <w:rPr>
          <w:rFonts w:ascii="Consolas" w:cs="Consolas" w:eastAsia="Consolas" w:hAnsi="Consolas"/>
          <w:sz w:val="18"/>
          <w:szCs w:val="18"/>
        </w:rPr>
        <w:t xml:space="preserve">WACC = (0.10 * 0.7143) + (0.04875 * 0.2857)</w:t>
      </w:r>
      <w:r>
        <w:t xml:space="preserve">
</w:t>
      </w:r>
      <w:r>
        <w:rPr>
          <w:rFonts w:ascii="Consolas" w:cs="Consolas" w:eastAsia="Consolas" w:hAnsi="Consolas"/>
          <w:sz w:val="18"/>
          <w:szCs w:val="18"/>
        </w:rPr>
        <w:t xml:space="preserve">WACC = 0.07143 + 0.01393</w:t>
      </w:r>
      <w:r>
        <w:t xml:space="preserve">
</w:t>
      </w:r>
      <w:r>
        <w:rPr>
          <w:rFonts w:ascii="Consolas" w:cs="Consolas" w:eastAsia="Consolas" w:hAnsi="Consolas"/>
          <w:sz w:val="18"/>
          <w:szCs w:val="18"/>
        </w:rPr>
        <w:t xml:space="preserve">WACC = 0.08536</w:t>
      </w:r>
      <w:r>
        <w:t xml:space="preserve"> or </w:t>
      </w:r>
      <w:r>
        <w:rPr>
          <w:rFonts w:ascii="Consolas" w:cs="Consolas" w:eastAsia="Consolas" w:hAnsi="Consolas"/>
          <w:sz w:val="18"/>
          <w:szCs w:val="18"/>
        </w:rPr>
        <w:t xml:space="preserve">8.54%</w:t>
      </w:r>
    </w:p>
    <w:p>
      <w:pPr>
        <w:spacing w:after="140"/>
      </w:pPr>
      <w:r>
        <w:t xml:space="preserve">The WACC serves as the discount rate for evaluating projects that have similar risk to the company's average operations. It is the hurdle rate that projects must exceed to create value for shareholders.</w:t>
      </w:r>
    </w:p>
    <w:p>
      <w:pPr>
        <w:spacing w:after="140"/>
      </w:pPr>
      <w:r>
        <w:rPr>
          <w:b/>
          <w:bCs/>
        </w:rPr>
        <w:t xml:space="preserve">Practice Cue:</w:t>
      </w:r>
      <w:r>
        <w:t xml:space="preserve"> For the same public company you analyzed for beta, find its current market value of equity and debt. Estimate its pre-tax cost of debt and marginal tax rate. Calculate its WACC. What assumptions did you make?</w:t>
      </w:r>
    </w:p>
    <w:p>
      <w:pPr>
        <w:pStyle w:val="Heading2"/>
      </w:pPr>
      <w:r>
        <w:t xml:space="preserve">Investment Returns and Cash Flow Analysis</w:t>
      </w:r>
    </w:p>
    <w:p>
      <w:pPr>
        <w:spacing w:after="120"/>
      </w:pPr>
      <w:r>
        <w:rPr>
          <w:rFonts w:ascii="Arial" w:cs="Arial" w:eastAsia="Arial" w:hAnsi="Arial"/>
          <w:color w:val="666666"/>
          <w:sz w:val="15"/>
          <w:szCs w:val="15"/>
        </w:rPr>
        <w:t xml:space="preserve">Covers: Session 12: First Steps in Investment Returns · Session 13: Earnings to Cash flows to Incremental Cash Flows · Session 14: Investment Returns - Equity Analysis and Acquisitions · Session 15: Investment Interactions, Side Costs and Side Benefits</w:t>
      </w:r>
    </w:p>
    <w:p>
      <w:pPr>
        <w:spacing w:after="140"/>
      </w:pPr>
      <w:r>
        <w:t xml:space="preserve">Once the cost of capital is determined, the next step is to evaluate potential investments. The goal is to identify projects that generate returns exceeding their cost of capital, thereby creating value for shareholders.</w:t>
      </w:r>
    </w:p>
    <w:p>
      <w:pPr>
        <w:pStyle w:val="Heading4"/>
        <w:spacing w:after="80" w:before="200"/>
      </w:pPr>
      <w:r>
        <w:t xml:space="preserve">Investment Decision Rules</w:t>
      </w:r>
    </w:p>
    <w:p>
      <w:pPr>
        <w:spacing w:after="140"/>
      </w:pPr>
      <w:r>
        <w:t xml:space="preserve">Two primary methods for evaluating projects are Net Present Value (NPV) and Internal Rate of Return (IRR).</w:t>
      </w:r>
    </w:p>
    <w:p>
      <w:pPr>
        <w:pStyle w:val="ListParagraph"/>
        <w:numPr>
          <w:ilvl w:val="0"/>
          <w:numId w:val="1"/>
        </w:numPr>
        <w:spacing w:after="60"/>
      </w:pPr>
      <w:r>
        <w:rPr>
          <w:b/>
          <w:bCs/>
        </w:rPr>
        <w:t xml:space="preserve">Net Present Value (NPV):</w:t>
      </w:r>
      <w:r>
        <w:t xml:space="preserve"> This is the present value of all expected future cash flows from a project, minus the initial investment. A project with a positive NPV creates value and should be accepted. NPV directly measures the increase in firm value.
 </w:t>
      </w:r>
      <w:r>
        <w:rPr>
          <w:rFonts w:ascii="Consolas" w:cs="Consolas" w:eastAsia="Consolas" w:hAnsi="Consolas"/>
          <w:sz w:val="18"/>
          <w:szCs w:val="18"/>
        </w:rPr>
        <w:t xml:space="preserve">NPV = Sum (Cash Flow_t / (1 + r)^t) - Initial Investment</w:t>
      </w:r>
      <w:r>
        <w:t xml:space="preserve">
 Where </w:t>
      </w:r>
      <w:r>
        <w:rPr>
          <w:rFonts w:ascii="Consolas" w:cs="Consolas" w:eastAsia="Consolas" w:hAnsi="Consolas"/>
          <w:sz w:val="18"/>
          <w:szCs w:val="18"/>
        </w:rPr>
        <w:t xml:space="preserve">r</w:t>
      </w:r>
      <w:r>
        <w:t xml:space="preserve"> is the appropriate discount rate (often WACC).</w:t>
      </w:r>
    </w:p>
    <w:p>
      <w:pPr>
        <w:pStyle w:val="ListParagraph"/>
        <w:numPr>
          <w:ilvl w:val="0"/>
          <w:numId w:val="1"/>
        </w:numPr>
        <w:spacing w:after="60"/>
      </w:pPr>
      <w:r>
        <w:rPr>
          <w:b/>
          <w:bCs/>
        </w:rPr>
        <w:t xml:space="preserve">Internal Rate of Return (IRR):</w:t>
      </w:r>
      <w:r>
        <w:t xml:space="preserve"> This is the discount rate that makes the NPV of a project equal to zero. A project should be accepted if its IRR is greater than the cost of capital. While intuitive, IRR can have limitations, especially with non-conventional cash flows or when comparing mutually exclusive projects of different scales.</w:t>
      </w:r>
    </w:p>
    <w:p>
      <w:pPr>
        <w:spacing w:after="140"/>
      </w:pPr>
      <w:r>
        <w:rPr>
          <w:b/>
          <w:bCs/>
        </w:rPr>
        <w:t xml:space="preserve">Example:</w:t>
      </w:r>
      <w:r>
        <w:t xml:space="preserve"> A project requires an initial investment of $100,000 and is expected to generate cash flows of $40,000 per year for 3 years. If the WACC is 10%:</w:t>
      </w:r>
    </w:p>
    <w:p>
      <w:pPr>
        <w:spacing w:after="140"/>
      </w:pPr>
      <w:r>
        <w:rPr>
          <w:rFonts w:ascii="Consolas" w:cs="Consolas" w:eastAsia="Consolas" w:hAnsi="Consolas"/>
          <w:sz w:val="18"/>
          <w:szCs w:val="18"/>
        </w:rPr>
        <w:t xml:space="preserve">NPV = (-100,000) + (40,000 / (1.10)^1) + (40,000 / (1.10)^2) + (40,000 / (1.10)^3)</w:t>
      </w:r>
      <w:r>
        <w:t xml:space="preserve">
</w:t>
      </w:r>
      <w:r>
        <w:rPr>
          <w:rFonts w:ascii="Consolas" w:cs="Consolas" w:eastAsia="Consolas" w:hAnsi="Consolas"/>
          <w:sz w:val="18"/>
          <w:szCs w:val="18"/>
        </w:rPr>
        <w:t xml:space="preserve">NPV = -100,000 + 36,363.64 + 33,057.85 + 30,052.59</w:t>
      </w:r>
      <w:r>
        <w:t xml:space="preserve">
</w:t>
      </w:r>
      <w:r>
        <w:rPr>
          <w:rFonts w:ascii="Consolas" w:cs="Consolas" w:eastAsia="Consolas" w:hAnsi="Consolas"/>
          <w:sz w:val="18"/>
          <w:szCs w:val="18"/>
        </w:rPr>
        <w:t xml:space="preserve">NPV = -100,000 + 99,474.08 = -525.92</w:t>
      </w:r>
    </w:p>
    <w:p>
      <w:pPr>
        <w:spacing w:after="140"/>
      </w:pPr>
      <w:r>
        <w:t xml:space="preserve">In this case, the NPV is negative, so the project should be rejected. The IRR would be slightly below 10%.</w:t>
      </w:r>
    </w:p>
    <w:p>
      <w:pPr>
        <w:pStyle w:val="Heading4"/>
        <w:spacing w:after="80" w:before="200"/>
      </w:pPr>
      <w:r>
        <w:t xml:space="preserve">From Earnings to Incremental Cash Flows</w:t>
      </w:r>
    </w:p>
    <w:p>
      <w:pPr>
        <w:spacing w:after="140"/>
      </w:pPr>
      <w:r>
        <w:t xml:space="preserve">Investment decisions must be based on cash flows, not accounting earnings. Earnings are affected by non-cash items like depreciation and accruals. To convert earnings to cash flows, adjustments are needed:</w:t>
      </w:r>
    </w:p>
    <w:p>
      <w:pPr>
        <w:spacing w:after="140"/>
      </w:pPr>
      <w:r>
        <w:rPr>
          <w:rFonts w:ascii="Consolas" w:cs="Consolas" w:eastAsia="Consolas" w:hAnsi="Consolas"/>
          <w:sz w:val="18"/>
          <w:szCs w:val="18"/>
        </w:rPr>
        <w:t xml:space="preserve">Free Cash Flow = Net Income + Depreciation &amp; Amortization - Capital Expenditures - Change in Non-cash Working Capital</w:t>
      </w:r>
    </w:p>
    <w:p>
      <w:pPr>
        <w:spacing w:after="140"/>
      </w:pPr>
      <w:r>
        <w:t xml:space="preserve">Crucially, we must focus on </w:t>
      </w:r>
      <w:r>
        <w:rPr>
          <w:i/>
          <w:iCs/>
        </w:rPr>
        <w:t xml:space="preserve">incremental</w:t>
      </w:r>
      <w:r>
        <w:t xml:space="preserve"> cash flows. These are the additional cash flows that the company generates </w:t>
      </w:r>
      <w:r>
        <w:rPr>
          <w:i/>
          <w:iCs/>
        </w:rPr>
        <w:t xml:space="preserve">because</w:t>
      </w:r>
      <w:r>
        <w:t xml:space="preserve"> it undertakes the project. Key considerations include:</w:t>
      </w:r>
    </w:p>
    <w:p>
      <w:pPr>
        <w:pStyle w:val="ListParagraph"/>
        <w:numPr>
          <w:ilvl w:val="0"/>
          <w:numId w:val="1"/>
        </w:numPr>
        <w:spacing w:after="60"/>
      </w:pPr>
      <w:r>
        <w:rPr>
          <w:b/>
          <w:bCs/>
        </w:rPr>
        <w:t xml:space="preserve">Sunk Costs:</w:t>
      </w:r>
      <w:r>
        <w:t xml:space="preserve"> Costs already incurred and unrecoverable. They are irrelevant to future decisions.</w:t>
      </w:r>
    </w:p>
    <w:p>
      <w:pPr>
        <w:pStyle w:val="ListParagraph"/>
        <w:numPr>
          <w:ilvl w:val="0"/>
          <w:numId w:val="1"/>
        </w:numPr>
        <w:spacing w:after="60"/>
      </w:pPr>
      <w:r>
        <w:rPr>
          <w:b/>
          <w:bCs/>
        </w:rPr>
        <w:t xml:space="preserve">Opportunity Costs:</w:t>
      </w:r>
      <w:r>
        <w:t xml:space="preserve"> The value of the next best alternative foregone. These must be included as project costs.</w:t>
      </w:r>
    </w:p>
    <w:p>
      <w:pPr>
        <w:pStyle w:val="ListParagraph"/>
        <w:numPr>
          <w:ilvl w:val="0"/>
          <w:numId w:val="1"/>
        </w:numPr>
        <w:spacing w:after="60"/>
      </w:pPr>
      <w:r>
        <w:rPr>
          <w:b/>
          <w:bCs/>
        </w:rPr>
        <w:t xml:space="preserve">Side Effects (Externalities):</w:t>
      </w:r>
      <w:r>
        <w:t xml:space="preserve"> Positive or negative impacts on other parts of the business. For example, a new product might cannibalize sales of an existing product (negative) or enhance them (positive).</w:t>
      </w:r>
    </w:p>
    <w:p>
      <w:pPr>
        <w:spacing w:after="140"/>
      </w:pPr>
      <w:r>
        <w:rPr>
          <w:b/>
          <w:bCs/>
        </w:rPr>
        <w:t xml:space="preserve">Common Mistake:</w:t>
      </w:r>
      <w:r>
        <w:t xml:space="preserve"> Including sunk costs in project analysis. Sunk costs are in the past and cannot be changed by the current decision.</w:t>
      </w:r>
    </w:p>
    <w:p>
      <w:pPr>
        <w:pStyle w:val="Heading4"/>
        <w:spacing w:after="80" w:before="200"/>
      </w:pPr>
      <w:r>
        <w:t xml:space="preserve">Equity Analysis and Acquisitions</w:t>
      </w:r>
    </w:p>
    <w:p>
      <w:pPr>
        <w:spacing w:after="140"/>
      </w:pPr>
      <w:r>
        <w:t xml:space="preserve">While project evaluation typically uses Free Cash Flow to Firm (FCFF) and WACC, sometimes the focus is on the cash flows available to equity holders, known as Free Cash Flow to Equity (FCFE). This is discounted at the cost of equity. FCFE is relevant when evaluating equity investments or considering dividend capacity.</w:t>
      </w:r>
    </w:p>
    <w:p>
      <w:pPr>
        <w:spacing w:after="140"/>
      </w:pPr>
      <w:r>
        <w:t xml:space="preserve">Acquisitions are essentially large investment projects. The valuation of a target company involves projecting its future cash flows (often FCFF) and discounting them at an appropriate cost of capital. Synergies, which are the additional cash flows generated by combining two companies, must be carefully estimated and included in the target's cash flows. A control premium, the extra amount paid to acquire a controlling stake, is also a key consideration.</w:t>
      </w:r>
    </w:p>
    <w:p>
      <w:pPr>
        <w:pStyle w:val="Heading4"/>
        <w:spacing w:after="80" w:before="200"/>
      </w:pPr>
      <w:r>
        <w:t xml:space="preserve">Investment Interactions, Side Costs and Side Benefits</w:t>
      </w:r>
    </w:p>
    <w:p>
      <w:pPr>
        <w:spacing w:after="140"/>
      </w:pPr>
      <w:r>
        <w:t xml:space="preserve">Projects rarely exist in isolation. They can interact with existing operations in complex ways. These interactions can be:</w:t>
      </w:r>
    </w:p>
    <w:p>
      <w:pPr>
        <w:pStyle w:val="ListParagraph"/>
        <w:numPr>
          <w:ilvl w:val="0"/>
          <w:numId w:val="1"/>
        </w:numPr>
        <w:spacing w:after="60"/>
      </w:pPr>
      <w:r>
        <w:rPr>
          <w:b/>
          <w:bCs/>
        </w:rPr>
        <w:t xml:space="preserve">Cannibalization:</w:t>
      </w:r>
      <w:r>
        <w:t xml:space="preserve"> A new product or service reduces the sales of existing products. The lost cash flows from existing products must be treated as a cost of the new project.</w:t>
      </w:r>
    </w:p>
    <w:p>
      <w:pPr>
        <w:pStyle w:val="ListParagraph"/>
        <w:numPr>
          <w:ilvl w:val="0"/>
          <w:numId w:val="1"/>
        </w:numPr>
        <w:spacing w:after="60"/>
      </w:pPr>
      <w:r>
        <w:rPr>
          <w:b/>
          <w:bCs/>
        </w:rPr>
        <w:t xml:space="preserve">Sales Enhancement:</w:t>
      </w:r>
      <w:r>
        <w:t xml:space="preserve"> A new project boosts sales of existing products. These increased cash flows are a benefit of the new project.</w:t>
      </w:r>
    </w:p>
    <w:p>
      <w:pPr>
        <w:pStyle w:val="ListParagraph"/>
        <w:numPr>
          <w:ilvl w:val="0"/>
          <w:numId w:val="1"/>
        </w:numPr>
        <w:spacing w:after="60"/>
      </w:pPr>
      <w:r>
        <w:rPr>
          <w:b/>
          <w:bCs/>
        </w:rPr>
        <w:t xml:space="preserve">Option Value:</w:t>
      </w:r>
      <w:r>
        <w:t xml:space="preserve"> Some projects, while having a negative NPV on their own, create opportunities for future, valuable projects. This 'real option' value should be considered.</w:t>
      </w:r>
    </w:p>
    <w:p>
      <w:pPr>
        <w:spacing w:after="140"/>
      </w:pPr>
      <w:r>
        <w:t xml:space="preserve">Understanding these interactions ensures a comprehensive and accurate assessment of a project's true value.</w:t>
      </w:r>
    </w:p>
    <w:p>
      <w:pPr>
        <w:spacing w:after="140"/>
      </w:pPr>
      <w:r>
        <w:rPr>
          <w:b/>
          <w:bCs/>
        </w:rPr>
        <w:t xml:space="preserve">Practice Cue:</w:t>
      </w:r>
      <w:r>
        <w:t xml:space="preserve"> Imagine a company is considering launching a new smartphone model. List three potential incremental cash flow items, one sunk cost, one opportunity cost, and one potential side effect (either positive or negative) that should be considered in the project's valuation.</w:t>
      </w:r>
    </w:p>
    <w:p>
      <w:pPr>
        <w:pStyle w:val="Heading3"/>
      </w:pPr>
      <w:r>
        <w:t xml:space="preserve">Key Takeaways</w:t>
      </w:r>
    </w:p>
    <w:p>
      <w:pPr>
        <w:pStyle w:val="ListParagraph"/>
        <w:numPr>
          <w:ilvl w:val="0"/>
          <w:numId w:val="1"/>
        </w:numPr>
        <w:spacing w:after="60"/>
      </w:pPr>
      <w:r>
        <w:t xml:space="preserve">Beta measures a stock's sensitivity to market movements and is a core input for estimating the cost of equity using the Capital Asset Pricing Model.</w:t>
      </w:r>
    </w:p>
    <w:p>
      <w:pPr>
        <w:pStyle w:val="ListParagraph"/>
        <w:numPr>
          <w:ilvl w:val="0"/>
          <w:numId w:val="1"/>
        </w:numPr>
        <w:spacing w:after="60"/>
      </w:pPr>
      <w:r>
        <w:t xml:space="preserve">Bottom-up betas, derived from comparable public companies, offer a more stable and reliable estimate than historical regression betas, especially for private firms or divisions.</w:t>
      </w:r>
    </w:p>
    <w:p>
      <w:pPr>
        <w:pStyle w:val="ListParagraph"/>
        <w:numPr>
          <w:ilvl w:val="0"/>
          <w:numId w:val="1"/>
        </w:numPr>
        <w:spacing w:after="60"/>
      </w:pPr>
      <w:r>
        <w:t xml:space="preserve">The cost of debt must be calculated on an after-tax basis, and the yield to maturity is the most appropriate measure for the pre-tax cost.</w:t>
      </w:r>
    </w:p>
    <w:p>
      <w:pPr>
        <w:pStyle w:val="ListParagraph"/>
        <w:numPr>
          <w:ilvl w:val="0"/>
          <w:numId w:val="1"/>
        </w:numPr>
        <w:spacing w:after="60"/>
      </w:pPr>
      <w:r>
        <w:t xml:space="preserve">The Weighted Average Cost of Capital (WACC) combines the after-tax costs of equity and debt, weighted by their market values, to serve as a project's hurdle rate.</w:t>
      </w:r>
    </w:p>
    <w:p>
      <w:pPr>
        <w:pStyle w:val="ListParagraph"/>
        <w:numPr>
          <w:ilvl w:val="0"/>
          <w:numId w:val="1"/>
        </w:numPr>
        <w:spacing w:after="60"/>
      </w:pPr>
      <w:r>
        <w:t xml:space="preserve">Investment decisions should rely on Net Present Value (NPV) or Internal Rate of Return (IRR) based on incremental cash flows, not accounting earnings.</w:t>
      </w:r>
    </w:p>
    <w:p>
      <w:pPr>
        <w:pStyle w:val="ListParagraph"/>
        <w:numPr>
          <w:ilvl w:val="0"/>
          <w:numId w:val="1"/>
        </w:numPr>
        <w:spacing w:after="60"/>
      </w:pPr>
      <w:r>
        <w:t xml:space="preserve">Carefully identify and include all incremental cash flows, opportunity costs, and side effects, while excluding sunk costs, when evaluating a project.</w:t>
      </w:r>
    </w:p>
    <w:p>
      <w:pPr>
        <w:pStyle w:val="ListParagraph"/>
        <w:numPr>
          <w:ilvl w:val="0"/>
          <w:numId w:val="1"/>
        </w:numPr>
        <w:spacing w:after="60"/>
      </w:pPr>
      <w:r>
        <w:t xml:space="preserve">Acquisitions are investment projects requiring careful valuation of target company cash flows, including potential synergies and control premiums.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bottom-up beta estimation often preferred over historical regression beta, especially for private companies or divisions?</w:t>
      </w:r>
    </w:p>
    <w:p>
      <w:pPr>
        <w:spacing w:after="60"/>
      </w:pPr>
      <w:r>
        <w:t xml:space="preserve">2. </w:t>
      </w:r>
      <w:r>
        <w:t xml:space="preserve">Explain the difference between the coupon rate and the yield to maturity (YTM) for a bond, and state which one should be used to estimate the pre-tax cost of debt.</w:t>
      </w:r>
    </w:p>
    <w:p>
      <w:pPr>
        <w:spacing w:after="60"/>
      </w:pPr>
      <w:r>
        <w:t xml:space="preserve">3. </w:t>
      </w:r>
      <w:r>
        <w:t xml:space="preserve">When calculating the Weighted Average Cost of Capital (WACC), why is it important to use market values for debt and equity, rather than book values?</w:t>
      </w:r>
    </w:p>
    <w:p>
      <w:pPr>
        <w:spacing w:after="60"/>
      </w:pPr>
      <w:r>
        <w:t xml:space="preserve">4. </w:t>
      </w:r>
      <w:r>
        <w:t xml:space="preserve">What are incremental cash flows, and why are they crucial for sound investment decision-making?</w:t>
      </w:r>
    </w:p>
    <w:p>
      <w:pPr>
        <w:spacing w:after="60"/>
      </w:pPr>
      <w:r>
        <w:t xml:space="preserve">5. </w:t>
      </w:r>
      <w:r>
        <w:t xml:space="preserve">A new product launch is expected to increase a company's overall sales, but it will also reduce sales of an existing product line. How should these effects be handled in the new product's cash flow analysis?</w:t>
      </w:r>
    </w:p>
    <w:p>
      <w:pPr>
        <w:pStyle w:val="Heading1"/>
        <w:pageBreakBefore/>
      </w:pPr>
      <w:r>
        <w:t xml:space="preserve">Chapter 3: Financing Decisions and Capital Structure</w:t>
      </w:r>
    </w:p>
    <w:p>
      <w:pPr>
        <w:spacing w:after="140"/>
      </w:pPr>
      <w:r>
        <w:t xml:space="preserve">This chapter explores the critical financing decisions companies face, focusing on how to determine the optimal mix of debt and equity. We examine the theoretical underpinnings of capital structure, including the Miller-Modigliani propositions, and practical approaches like the cost of capital method for identifying the ideal debt level. Understanding these concepts is essential for maximizing firm value.</w:t>
      </w:r>
    </w:p>
    <w:p>
      <w:pPr>
        <w:spacing w:after="140"/>
      </w:pPr>
      <w:r>
        <w:t xml:space="preserve">The chapter also works through the nuances of debt design, recognizing that not all debt is created equal. Finally, we analyze dividend policy, discussing why companies pay dividends, the implications of various distribution methods, and the crucial link between cash flow, trust, and shareholder returns.</w:t>
      </w:r>
    </w:p>
    <w:p>
      <w:pPr>
        <w:pStyle w:val="Heading2"/>
      </w:pPr>
      <w:r>
        <w:t xml:space="preserve">The Debt-Equity Trade-off and Optimal Capital Structure</w:t>
      </w:r>
    </w:p>
    <w:p>
      <w:pPr>
        <w:spacing w:after="120"/>
      </w:pPr>
      <w:r>
        <w:rPr>
          <w:rFonts w:ascii="Arial" w:cs="Arial" w:eastAsia="Arial" w:hAnsi="Arial"/>
          <w:color w:val="666666"/>
          <w:sz w:val="15"/>
          <w:szCs w:val="15"/>
        </w:rPr>
        <w:t xml:space="preserve">Covers: Session 16: The Google Car - Case Discussion and Project Options · Session 17: The Debt Equity Trade off · Session 18: Financing Hierarchies, Miller-Modigliani &amp; Cost of Capital Approach to Debt Optimization · Session 19: Enhanced Cost of Capital Approach and Determinants of Optimal · Session 20: Other Approaches to Optimizing Debt Mix &amp; Follow up</w:t>
      </w:r>
    </w:p>
    <w:p>
      <w:pPr>
        <w:spacing w:after="140"/>
      </w:pPr>
      <w:r>
        <w:t xml:space="preserve">A company's capital structure refers to the specific mix of debt and equity it uses to finance its assets. This decision is central to corporate finance because it directly impacts the firm's cost of capital and, consequently, its value. The objective is to find the capital structure that minimizes the Weighted Average Cost of Capital (WACC), thereby maximizing firm value.</w:t>
      </w:r>
    </w:p>
    <w:p>
      <w:pPr>
        <w:pStyle w:val="Heading4"/>
        <w:spacing w:after="80" w:before="200"/>
      </w:pPr>
      <w:r>
        <w:t xml:space="preserve">The Debt-Equity Trade-off</w:t>
      </w:r>
    </w:p>
    <w:p>
      <w:pPr>
        <w:spacing w:after="140"/>
      </w:pPr>
      <w:r>
        <w:t xml:space="preserve">Using debt offers several advantages. The most significant is the tax shield: interest payments on debt are typically tax-deductible, reducing a company's taxable income and thus its tax liability. Debt can also impose financial discipline on management, as interest payments are a fixed obligation. However, debt also introduces costs. As a company takes on more debt, its risk of financial distress, including bankruptcy, increases. This rising risk leads to higher borrowing costs for new debt and higher required returns for equity investors. These are the direct costs of financial distress. There are also indirect costs, such as lost sales, difficulty attracting talent, and supplier reluctance to offer credit, all stemming from the perception of higher risk.</w:t>
      </w:r>
    </w:p>
    <w:p>
      <w:pPr>
        <w:pStyle w:val="Heading4"/>
        <w:spacing w:after="80" w:before="200"/>
      </w:pPr>
      <w:r>
        <w:t xml:space="preserve">Miller-Modigliani Propositions</w:t>
      </w:r>
    </w:p>
    <w:p>
      <w:pPr>
        <w:spacing w:after="140"/>
      </w:pPr>
      <w:r>
        <w:t xml:space="preserve">The theoretical foundation for capital structure began with Franco Modigliani and Merton Miller. Their initial proposition (MM Proposition I without taxes) stated that in a perfect capital market, the value of a firm is independent of its capital structure. This means the total pie is the same regardless of how it is sliced between debt and equity. When corporate taxes are introduced (MM Proposition I with taxes), the value of the levered firm equals the value of the unlevered firm plus the present value of the tax shield. This suggests that 100% debt financing would be optimal due to the tax benefits. However, this model does not account for the costs of financial distress.</w:t>
      </w:r>
    </w:p>
    <w:p>
      <w:pPr>
        <w:pStyle w:val="Heading4"/>
        <w:spacing w:after="80" w:before="200"/>
      </w:pPr>
      <w:r>
        <w:t xml:space="preserve">Financing Hierarchies and Pecking Order Theory</w:t>
      </w:r>
    </w:p>
    <w:p>
      <w:pPr>
        <w:spacing w:after="140"/>
      </w:pPr>
      <w:r>
        <w:t xml:space="preserve">In the real world, companies often follow a financing hierarchy, preferring internal financing (retained earnings) first, then debt, and finally external equity. This is known as the pecking order theory. It suggests that companies prefer internal funds because they avoid external scrutiny and issuance costs. If external financing is needed, debt is preferred over equity because issuing equity can signal to the market that management believes the stock is overvalued, leading to a price drop. This information asymmetry drives the pecking order.</w:t>
      </w:r>
    </w:p>
    <w:p>
      <w:pPr>
        <w:pStyle w:val="Heading4"/>
        <w:spacing w:after="80" w:before="200"/>
      </w:pPr>
      <w:r>
        <w:t xml:space="preserve">Cost of Capital Approach to Debt Optimization</w:t>
      </w:r>
    </w:p>
    <w:p>
      <w:pPr>
        <w:spacing w:after="140"/>
      </w:pPr>
      <w:r>
        <w:t xml:space="preserve">The most common practical approach to finding the optimal capital structure involves minimizing the WACC. The WACC is the average rate of return a company expects to pay to all its security holders to finance its assets. It is calculated as:</w:t>
      </w:r>
    </w:p>
    <w:p>
      <w:pPr>
        <w:keepLines/>
        <w:shd w:fill="F5F5F5" w:val="clear"/>
        <w:spacing w:after="160" w:line="252"/>
        <w:ind w:left="227" w:right="227"/>
      </w:pPr>
      <w:r>
        <w:rPr>
          <w:rFonts w:ascii="Consolas" w:cs="Consolas" w:eastAsia="Consolas" w:hAnsi="Consolas"/>
          <w:sz w:val="17"/>
          <w:szCs w:val="17"/>
        </w:rPr>
        <w:t xml:space="preserve">WACC = (E / V) * Re + (D / V) * Rd * (1 - t)</w:t>
      </w:r>
    </w:p>
    <w:p>
      <w:pPr>
        <w:spacing w:after="140"/>
      </w:pPr>
      <w:r>
        <w:t xml:space="preserve">Where:</w:t>
      </w:r>
    </w:p>
    <w:p>
      <w:pPr>
        <w:pStyle w:val="ListParagraph"/>
        <w:numPr>
          <w:ilvl w:val="0"/>
          <w:numId w:val="1"/>
        </w:numPr>
        <w:spacing w:after="60"/>
      </w:pPr>
      <w:r>
        <w:rPr>
          <w:rFonts w:ascii="Consolas" w:cs="Consolas" w:eastAsia="Consolas" w:hAnsi="Consolas"/>
          <w:sz w:val="18"/>
          <w:szCs w:val="18"/>
        </w:rPr>
        <w:t xml:space="preserve">E</w:t>
      </w:r>
      <w:r>
        <w:t xml:space="preserve"> = Market value of equity</w:t>
      </w:r>
    </w:p>
    <w:p>
      <w:pPr>
        <w:pStyle w:val="ListParagraph"/>
        <w:numPr>
          <w:ilvl w:val="0"/>
          <w:numId w:val="1"/>
        </w:numPr>
        <w:spacing w:after="60"/>
      </w:pPr>
      <w:r>
        <w:rPr>
          <w:rFonts w:ascii="Consolas" w:cs="Consolas" w:eastAsia="Consolas" w:hAnsi="Consolas"/>
          <w:sz w:val="18"/>
          <w:szCs w:val="18"/>
        </w:rPr>
        <w:t xml:space="preserve">D</w:t>
      </w:r>
      <w:r>
        <w:t xml:space="preserve"> = Market value of debt</w:t>
      </w:r>
    </w:p>
    <w:p>
      <w:pPr>
        <w:pStyle w:val="ListParagraph"/>
        <w:numPr>
          <w:ilvl w:val="0"/>
          <w:numId w:val="1"/>
        </w:numPr>
        <w:spacing w:after="60"/>
      </w:pPr>
      <w:r>
        <w:rPr>
          <w:rFonts w:ascii="Consolas" w:cs="Consolas" w:eastAsia="Consolas" w:hAnsi="Consolas"/>
          <w:sz w:val="18"/>
          <w:szCs w:val="18"/>
        </w:rPr>
        <w:t xml:space="preserve">V</w:t>
      </w:r>
      <w:r>
        <w:t xml:space="preserve"> = Total market value of the firm (E + D)</w:t>
      </w:r>
    </w:p>
    <w:p>
      <w:pPr>
        <w:pStyle w:val="ListParagraph"/>
        <w:numPr>
          <w:ilvl w:val="0"/>
          <w:numId w:val="1"/>
        </w:numPr>
        <w:spacing w:after="60"/>
      </w:pPr>
      <w:r>
        <w:rPr>
          <w:rFonts w:ascii="Consolas" w:cs="Consolas" w:eastAsia="Consolas" w:hAnsi="Consolas"/>
          <w:sz w:val="18"/>
          <w:szCs w:val="18"/>
        </w:rPr>
        <w:t xml:space="preserve">Re</w:t>
      </w:r>
      <w:r>
        <w:t xml:space="preserve"> = Cost of equity</w:t>
      </w:r>
    </w:p>
    <w:p>
      <w:pPr>
        <w:pStyle w:val="ListParagraph"/>
        <w:numPr>
          <w:ilvl w:val="0"/>
          <w:numId w:val="1"/>
        </w:numPr>
        <w:spacing w:after="60"/>
      </w:pPr>
      <w:r>
        <w:rPr>
          <w:rFonts w:ascii="Consolas" w:cs="Consolas" w:eastAsia="Consolas" w:hAnsi="Consolas"/>
          <w:sz w:val="18"/>
          <w:szCs w:val="18"/>
        </w:rPr>
        <w:t xml:space="preserve">Rd</w:t>
      </w:r>
      <w:r>
        <w:t xml:space="preserve"> = Cost of debt</w:t>
      </w:r>
    </w:p>
    <w:p>
      <w:pPr>
        <w:pStyle w:val="ListParagraph"/>
        <w:numPr>
          <w:ilvl w:val="0"/>
          <w:numId w:val="1"/>
        </w:numPr>
        <w:spacing w:after="60"/>
      </w:pPr>
      <w:r>
        <w:rPr>
          <w:rFonts w:ascii="Consolas" w:cs="Consolas" w:eastAsia="Consolas" w:hAnsi="Consolas"/>
          <w:sz w:val="18"/>
          <w:szCs w:val="18"/>
        </w:rPr>
        <w:t xml:space="preserve">t</w:t>
      </w:r>
      <w:r>
        <w:t xml:space="preserve"> = Corporate tax rate</w:t>
      </w:r>
    </w:p>
    <w:p>
      <w:pPr>
        <w:spacing w:after="140"/>
      </w:pPr>
      <w:r>
        <w:t xml:space="preserve">To apply this approach, a company estimates its cost of equity and cost of debt at various debt-to-equity ratios. As debt increases, </w:t>
      </w:r>
      <w:r>
        <w:rPr>
          <w:rFonts w:ascii="Consolas" w:cs="Consolas" w:eastAsia="Consolas" w:hAnsi="Consolas"/>
          <w:sz w:val="18"/>
          <w:szCs w:val="18"/>
        </w:rPr>
        <w:t xml:space="preserve">Rd</w:t>
      </w:r>
      <w:r>
        <w:t xml:space="preserve"> typically rises, and </w:t>
      </w:r>
      <w:r>
        <w:rPr>
          <w:rFonts w:ascii="Consolas" w:cs="Consolas" w:eastAsia="Consolas" w:hAnsi="Consolas"/>
          <w:sz w:val="18"/>
          <w:szCs w:val="18"/>
        </w:rPr>
        <w:t xml:space="preserve">Re</w:t>
      </w:r>
      <w:r>
        <w:t xml:space="preserve"> also rises due to increased financial risk. The tax shield initially lowers WACC, but eventually, the rising costs of debt and equity due to financial distress outweigh the tax benefits, causing WACC to increase. The optimal capital structure is where the WACC is at its lowest point.</w:t>
      </w:r>
    </w:p>
    <w:p>
      <w:pPr>
        <w:spacing w:after="140"/>
      </w:pPr>
      <w:r>
        <w:rPr>
          <w:b/>
          <w:bCs/>
        </w:rPr>
        <w:t xml:space="preserve">Example:</w:t>
      </w:r>
      <w:r>
        <w:t xml:space="preserve"> A company currently has no debt. Its cost of equity is 12%, and its tax rate is 25%. It considers taking on debt.</w:t>
      </w:r>
    </w:p>
    <w:tbl>
      <w:tblPr>
        <w:tblW w:type="pct" w:w="100%"/>
        <w:tblBorders>
          <w:top w:val="single" w:color="888888" w:sz="4"/>
          <w:left w:val="single" w:color="888888" w:sz="4"/>
          <w:bottom w:val="single" w:color="888888" w:sz="4"/>
          <w:right w:val="single" w:color="888888" w:sz="4"/>
          <w:insideH w:val="single" w:color="888888" w:sz="4"/>
          <w:insideV w:val="single" w:color="888888" w:sz="4"/>
        </w:tblBorders>
      </w:tblPr>
      <w:tblGrid>
        <w:gridCol w:w="100"/>
        <w:gridCol w:w="100"/>
        <w:gridCol w:w="100"/>
        <w:gridCol w:w="100"/>
        <w:gridCol w:w="100"/>
      </w:tblGrid>
      <w:tr>
        <w:trPr>
          <w:tblHeader/>
        </w:trPr>
        <w:tc>
          <w:tcPr>
            <w:shd w:fill="EFEFEF" w:val="clear"/>
          </w:tcPr>
          <w:p>
            <w:pPr>
              <w:spacing w:after="40"/>
            </w:pPr>
            <w:r>
              <w:rPr>
                <w:b/>
                <w:bCs/>
              </w:rPr>
              <w:t xml:space="preserve">Debt/Equity Ratio</w:t>
            </w:r>
          </w:p>
        </w:tc>
        <w:tc>
          <w:tcPr>
            <w:shd w:fill="EFEFEF" w:val="clear"/>
          </w:tcPr>
          <w:p>
            <w:pPr>
              <w:spacing w:after="40"/>
            </w:pPr>
            <w:r>
              <w:rPr>
                <w:b/>
                <w:bCs/>
              </w:rPr>
              <w:t xml:space="preserve">Cost of Equity (Re)</w:t>
            </w:r>
          </w:p>
        </w:tc>
        <w:tc>
          <w:tcPr>
            <w:shd w:fill="EFEFEF" w:val="clear"/>
          </w:tcPr>
          <w:p>
            <w:pPr>
              <w:spacing w:after="40"/>
            </w:pPr>
            <w:r>
              <w:rPr>
                <w:b/>
                <w:bCs/>
              </w:rPr>
              <w:t xml:space="preserve">Cost of Debt (Rd)</w:t>
            </w:r>
          </w:p>
        </w:tc>
        <w:tc>
          <w:tcPr>
            <w:shd w:fill="EFEFEF" w:val="clear"/>
          </w:tcPr>
          <w:p>
            <w:pPr>
              <w:spacing w:after="40"/>
            </w:pPr>
            <w:r>
              <w:rPr>
                <w:b/>
                <w:bCs/>
              </w:rPr>
              <w:t xml:space="preserve">WACC Calculation</w:t>
            </w:r>
          </w:p>
        </w:tc>
        <w:tc>
          <w:tcPr>
            <w:shd w:fill="EFEFEF" w:val="clear"/>
          </w:tcPr>
          <w:p>
            <w:pPr>
              <w:spacing w:after="40"/>
            </w:pPr>
            <w:r>
              <w:rPr>
                <w:b/>
                <w:bCs/>
              </w:rPr>
              <w:t xml:space="preserve">WACC</w:t>
            </w:r>
          </w:p>
        </w:tc>
      </w:tr>
      <w:tr>
        <w:tc>
          <w:p>
            <w:pPr>
              <w:spacing w:after="40"/>
            </w:pPr>
            <w:r>
              <w:t xml:space="preserve">0</w:t>
            </w:r>
          </w:p>
        </w:tc>
        <w:tc>
          <w:p>
            <w:pPr>
              <w:spacing w:after="40"/>
            </w:pPr>
            <w:r>
              <w:t xml:space="preserve">12.0%</w:t>
            </w:r>
          </w:p>
        </w:tc>
        <w:tc>
          <w:p>
            <w:pPr>
              <w:spacing w:after="40"/>
            </w:pPr>
            <w:r>
              <w:t xml:space="preserve">-</w:t>
            </w:r>
          </w:p>
        </w:tc>
        <w:tc>
          <w:p>
            <w:pPr>
              <w:spacing w:after="40"/>
            </w:pPr>
            <w:r>
              <w:t xml:space="preserve">(1/1)*12% + (0/1)</w:t>
            </w:r>
            <w:r>
              <w:rPr>
                <w:i/>
                <w:iCs/>
              </w:rPr>
              <w:t xml:space="preserve">0%</w:t>
            </w:r>
            <w:r>
              <w:t xml:space="preserve">(1-0.25)</w:t>
            </w:r>
          </w:p>
        </w:tc>
        <w:tc>
          <w:p>
            <w:pPr>
              <w:spacing w:after="40"/>
            </w:pPr>
            <w:r>
              <w:t xml:space="preserve">12.00%</w:t>
            </w:r>
          </w:p>
        </w:tc>
      </w:tr>
      <w:tr>
        <w:tc>
          <w:p>
            <w:pPr>
              <w:spacing w:after="40"/>
            </w:pPr>
            <w:r>
              <w:t xml:space="preserve">0.25</w:t>
            </w:r>
          </w:p>
        </w:tc>
        <w:tc>
          <w:p>
            <w:pPr>
              <w:spacing w:after="40"/>
            </w:pPr>
            <w:r>
              <w:t xml:space="preserve">12.5%</w:t>
            </w:r>
          </w:p>
        </w:tc>
        <w:tc>
          <w:p>
            <w:pPr>
              <w:spacing w:after="40"/>
            </w:pPr>
            <w:r>
              <w:t xml:space="preserve">5.0%</w:t>
            </w:r>
          </w:p>
        </w:tc>
        <w:tc>
          <w:p>
            <w:pPr>
              <w:spacing w:after="40"/>
            </w:pPr>
            <w:r>
              <w:t xml:space="preserve">(0.8/1)*12.5% + (0.2/1)</w:t>
            </w:r>
            <w:r>
              <w:rPr>
                <w:i/>
                <w:iCs/>
              </w:rPr>
              <w:t xml:space="preserve">5%</w:t>
            </w:r>
            <w:r>
              <w:t xml:space="preserve">(1-0.25)</w:t>
            </w:r>
          </w:p>
        </w:tc>
        <w:tc>
          <w:p>
            <w:pPr>
              <w:spacing w:after="40"/>
            </w:pPr>
            <w:r>
              <w:t xml:space="preserve">10.75%</w:t>
            </w:r>
          </w:p>
        </w:tc>
      </w:tr>
      <w:tr>
        <w:tc>
          <w:p>
            <w:pPr>
              <w:spacing w:after="40"/>
            </w:pPr>
            <w:r>
              <w:t xml:space="preserve">0.5</w:t>
            </w:r>
          </w:p>
        </w:tc>
        <w:tc>
          <w:p>
            <w:pPr>
              <w:spacing w:after="40"/>
            </w:pPr>
            <w:r>
              <w:t xml:space="preserve">13.5%</w:t>
            </w:r>
          </w:p>
        </w:tc>
        <w:tc>
          <w:p>
            <w:pPr>
              <w:spacing w:after="40"/>
            </w:pPr>
            <w:r>
              <w:t xml:space="preserve">6.0%</w:t>
            </w:r>
          </w:p>
        </w:tc>
        <w:tc>
          <w:p>
            <w:pPr>
              <w:spacing w:after="40"/>
            </w:pPr>
            <w:r>
              <w:t xml:space="preserve">(0.667/1)*13.5% + (0.333/1)</w:t>
            </w:r>
            <w:r>
              <w:rPr>
                <w:i/>
                <w:iCs/>
              </w:rPr>
              <w:t xml:space="preserve">6%</w:t>
            </w:r>
            <w:r>
              <w:t xml:space="preserve">(1-0.25)</w:t>
            </w:r>
          </w:p>
        </w:tc>
        <w:tc>
          <w:p>
            <w:pPr>
              <w:spacing w:after="40"/>
            </w:pPr>
            <w:r>
              <w:t xml:space="preserve">11.00%</w:t>
            </w:r>
          </w:p>
        </w:tc>
      </w:tr>
      <w:tr>
        <w:tc>
          <w:p>
            <w:pPr>
              <w:spacing w:after="40"/>
            </w:pPr>
            <w:r>
              <w:t xml:space="preserve">1.0</w:t>
            </w:r>
          </w:p>
        </w:tc>
        <w:tc>
          <w:p>
            <w:pPr>
              <w:spacing w:after="40"/>
            </w:pPr>
            <w:r>
              <w:t xml:space="preserve">15.0%</w:t>
            </w:r>
          </w:p>
        </w:tc>
        <w:tc>
          <w:p>
            <w:pPr>
              <w:spacing w:after="40"/>
            </w:pPr>
            <w:r>
              <w:t xml:space="preserve">8.0%</w:t>
            </w:r>
          </w:p>
        </w:tc>
        <w:tc>
          <w:p>
            <w:pPr>
              <w:spacing w:after="40"/>
            </w:pPr>
            <w:r>
              <w:t xml:space="preserve">(0.5/1)*15% + (0.5/1)</w:t>
            </w:r>
            <w:r>
              <w:rPr>
                <w:i/>
                <w:iCs/>
              </w:rPr>
              <w:t xml:space="preserve">8%</w:t>
            </w:r>
            <w:r>
              <w:t xml:space="preserve">(1-0.25)</w:t>
            </w:r>
          </w:p>
        </w:tc>
        <w:tc>
          <w:p>
            <w:pPr>
              <w:spacing w:after="40"/>
            </w:pPr>
            <w:r>
              <w:t xml:space="preserve">10.50%</w:t>
            </w:r>
          </w:p>
        </w:tc>
      </w:tr>
      <w:tr>
        <w:tc>
          <w:p>
            <w:pPr>
              <w:spacing w:after="40"/>
            </w:pPr>
            <w:r>
              <w:t xml:space="preserve">1.5</w:t>
            </w:r>
          </w:p>
        </w:tc>
        <w:tc>
          <w:p>
            <w:pPr>
              <w:spacing w:after="40"/>
            </w:pPr>
            <w:r>
              <w:t xml:space="preserve">18.0%</w:t>
            </w:r>
          </w:p>
        </w:tc>
        <w:tc>
          <w:p>
            <w:pPr>
              <w:spacing w:after="40"/>
            </w:pPr>
            <w:r>
              <w:t xml:space="preserve">10.0%</w:t>
            </w:r>
          </w:p>
        </w:tc>
        <w:tc>
          <w:p>
            <w:pPr>
              <w:spacing w:after="40"/>
            </w:pPr>
            <w:r>
              <w:t xml:space="preserve">(0.4/1)*18% + (0.6/1)</w:t>
            </w:r>
            <w:r>
              <w:rPr>
                <w:i/>
                <w:iCs/>
              </w:rPr>
              <w:t xml:space="preserve">10%</w:t>
            </w:r>
            <w:r>
              <w:t xml:space="preserve">(1-0.25)</w:t>
            </w:r>
          </w:p>
        </w:tc>
        <w:tc>
          <w:p>
            <w:pPr>
              <w:spacing w:after="40"/>
            </w:pPr>
            <w:r>
              <w:t xml:space="preserve">12.75%</w:t>
            </w:r>
          </w:p>
        </w:tc>
      </w:tr>
    </w:tbl>
    <w:p>
      <w:pPr>
        <w:spacing w:after="120"/>
      </w:pPr>
    </w:p>
    <w:p>
      <w:pPr>
        <w:spacing w:after="140"/>
      </w:pPr>
      <w:r>
        <w:t xml:space="preserve">In this simplified example, a Debt/Equity ratio of 1.0 minimizes WACC to 10.50%. Companies like Google, with substantial internal cash flows and high growth opportunities, might initially prefer less debt to maintain flexibility and avoid financial distress costs that could hinder innovation. As they mature, they might increase debt to benefit from tax shields.</w:t>
      </w:r>
    </w:p>
    <w:p>
      <w:pPr>
        <w:spacing w:after="140"/>
      </w:pPr>
      <w:r>
        <w:t xml:space="preserve">Other approaches to optimization include the Adjusted Present Value (APV) method, which separates the value of the unlevered firm from the value of financing side effects, and the Value of the Firm method, which directly calculates firm value for different capital structures.</w:t>
      </w:r>
    </w:p>
    <w:p>
      <w:pPr>
        <w:pStyle w:val="Heading2"/>
      </w:pPr>
      <w:r>
        <w:t xml:space="preserve">Debt Design Considerations</w:t>
      </w:r>
    </w:p>
    <w:p>
      <w:pPr>
        <w:spacing w:after="120"/>
      </w:pPr>
      <w:r>
        <w:rPr>
          <w:rFonts w:ascii="Arial" w:cs="Arial" w:eastAsia="Arial" w:hAnsi="Arial"/>
          <w:color w:val="666666"/>
          <w:sz w:val="15"/>
          <w:szCs w:val="15"/>
        </w:rPr>
        <w:t xml:space="preserve">Covers: Session 21: Debt Design (video, 1 hr 21 min)</w:t>
      </w:r>
    </w:p>
    <w:p>
      <w:pPr>
        <w:spacing w:after="140"/>
      </w:pPr>
      <w:r>
        <w:t xml:space="preserve">Debt is not a monolithic financial instrument. Its design involves numerous features that can be tailored to specific company needs, market conditions, and investor preferences. The choices made in debt design impact its cost, the flexibility it offers the borrower, and the risk profile for the lender.</w:t>
      </w:r>
    </w:p>
    <w:p>
      <w:pPr>
        <w:pStyle w:val="Heading4"/>
        <w:spacing w:after="80" w:before="200"/>
      </w:pPr>
      <w:r>
        <w:t xml:space="preserve">Key Features of Debt</w:t>
      </w:r>
    </w:p>
    <w:p>
      <w:pPr>
        <w:pStyle w:val="ListParagraph"/>
        <w:numPr>
          <w:ilvl w:val="0"/>
          <w:numId w:val="2"/>
        </w:numPr>
        <w:spacing w:after="60"/>
      </w:pPr>
      <w:r>
        <w:rPr>
          <w:b/>
          <w:bCs/>
        </w:rPr>
        <w:t xml:space="preserve">Maturity:</w:t>
      </w:r>
      <w:r>
        <w:t xml:space="preserve"> This refers to the length of time until the principal amount of the debt must be repaid. Short-term debt (typically under one year) offers flexibility but exposes the company to refinancing risk. Long-term debt provides stability but may carry higher interest rates or more restrictive covenants. Matching the maturity of debt to the life of the assets it finances is often a sound strategy.</w:t>
      </w:r>
    </w:p>
    <w:p>
      <w:pPr>
        <w:pStyle w:val="ListParagraph"/>
        <w:numPr>
          <w:ilvl w:val="0"/>
          <w:numId w:val="2"/>
        </w:numPr>
        <w:spacing w:after="60"/>
      </w:pPr>
      <w:r>
        <w:rPr>
          <w:b/>
          <w:bCs/>
        </w:rPr>
        <w:t xml:space="preserve">Coupon Rate and Interest Type:</w:t>
      </w:r>
      <w:r>
        <w:t xml:space="preserve"> The coupon rate is the interest rate paid on the debt. It can be fixed, meaning the rate remains constant over the debt's life, or floating, meaning it adjusts periodically based on a benchmark rate (like LIBOR or SOFR). Fixed-rate debt offers payment predictability, while floating-rate debt protects lenders from rising interest rates but exposes borrowers to rate volatility.</w:t>
      </w:r>
    </w:p>
    <w:p>
      <w:pPr>
        <w:pStyle w:val="ListParagraph"/>
        <w:numPr>
          <w:ilvl w:val="0"/>
          <w:numId w:val="2"/>
        </w:numPr>
        <w:spacing w:after="60"/>
      </w:pPr>
      <w:r>
        <w:rPr>
          <w:b/>
          <w:bCs/>
        </w:rPr>
        <w:t xml:space="preserve">Convertibility:</w:t>
      </w:r>
      <w:r>
        <w:t xml:space="preserve"> Convertible debt gives the holder the option to convert the debt into a specified number of common shares of the issuing company. This feature can lower the coupon rate because investors gain potential upside from equity appreciation. It is often used by growth companies that may not be able to service high interest payments initially but expect future stock price growth.</w:t>
      </w:r>
    </w:p>
    <w:p>
      <w:pPr>
        <w:pStyle w:val="ListParagraph"/>
        <w:numPr>
          <w:ilvl w:val="0"/>
          <w:numId w:val="2"/>
        </w:numPr>
        <w:spacing w:after="60"/>
      </w:pPr>
      <w:r>
        <w:rPr>
          <w:b/>
          <w:bCs/>
        </w:rPr>
        <w:t xml:space="preserve">Seniority:</w:t>
      </w:r>
      <w:r>
        <w:t xml:space="preserve"> This defines the order in which creditors are paid in the event of liquidation. Senior debt holders are paid before junior or subordinated debt holders. Senior debt typically carries a lower interest rate due to its lower risk.</w:t>
      </w:r>
    </w:p>
    <w:p>
      <w:pPr>
        <w:pStyle w:val="ListParagraph"/>
        <w:numPr>
          <w:ilvl w:val="0"/>
          <w:numId w:val="2"/>
        </w:numPr>
        <w:spacing w:after="60"/>
      </w:pPr>
      <w:r>
        <w:rPr>
          <w:b/>
          <w:bCs/>
        </w:rPr>
        <w:t xml:space="preserve">Security/Collateral:</w:t>
      </w:r>
      <w:r>
        <w:t xml:space="preserve"> Secured debt is backed by specific assets (collateral) of the borrower. If the borrower defaults, the lender can seize and sell the collateral to recover their funds. Unsecured debt has no specific collateral and relies on the general creditworthiness of the borrower. Secured debt usually has a lower interest rate.</w:t>
      </w:r>
    </w:p>
    <w:p>
      <w:pPr>
        <w:pStyle w:val="ListParagraph"/>
        <w:numPr>
          <w:ilvl w:val="0"/>
          <w:numId w:val="2"/>
        </w:numPr>
        <w:spacing w:after="60"/>
      </w:pPr>
      <w:r>
        <w:rPr>
          <w:b/>
          <w:bCs/>
        </w:rPr>
        <w:t xml:space="preserve">Covenants:</w:t>
      </w:r>
      <w:r>
        <w:t xml:space="preserve"> These are clauses in the debt agreement that specify actions the borrower must or must not take. Affirmative covenants require certain actions (e.g., maintaining specific financial ratios, providing financial statements). Negative covenants restrict actions (e.g., limiting additional debt, restricting dividend payments, preventing asset sales). Covenants protect lenders by limiting borrower risk. They can also reduce the cost of debt, but they restrict management's flexibility.</w:t>
      </w:r>
    </w:p>
    <w:p>
      <w:pPr>
        <w:pStyle w:val="Heading4"/>
        <w:spacing w:after="80" w:before="200"/>
      </w:pPr>
      <w:r>
        <w:t xml:space="preserve">Strategic Implications</w:t>
      </w:r>
    </w:p>
    <w:p>
      <w:pPr>
        <w:spacing w:after="140"/>
      </w:pPr>
      <w:r>
        <w:t xml:space="preserve">The design of debt should align with a company's financial health, growth prospects, and strategic objectives. For example, a stable, mature company with predictable cash flows might prefer long-term, fixed-rate, unsecured debt to lock in low rates. A high-growth startup, conversely, might opt for convertible debt to attract investors who want equity upside, or secured debt if its assets are a significant portion of its value.</w:t>
      </w:r>
    </w:p>
    <w:p>
      <w:pPr>
        <w:spacing w:after="140"/>
      </w:pPr>
      <w:r>
        <w:t xml:space="preserve">Understanding these design elements allows companies to structure financing that best suits their circumstances, balancing cost, risk, and flexibility. A mismatch in debt design can lead to unnecessary costs or operational constraints.</w:t>
      </w:r>
    </w:p>
    <w:p>
      <w:pPr>
        <w:pStyle w:val="Heading2"/>
      </w:pPr>
      <w:r>
        <w:t xml:space="preserve">Dividend Policy and Cash Distribution</w:t>
      </w:r>
    </w:p>
    <w:p>
      <w:pPr>
        <w:spacing w:after="120"/>
      </w:pPr>
      <w:r>
        <w:rPr>
          <w:rFonts w:ascii="Arial" w:cs="Arial" w:eastAsia="Arial" w:hAnsi="Arial"/>
          <w:color w:val="666666"/>
          <w:sz w:val="15"/>
          <w:szCs w:val="15"/>
        </w:rPr>
        <w:t xml:space="preserve">Covers: Session 22: Dividend Policy - Beyond Inertia and Me-tooism · Session 23: Actual versus Potential Dividends and Cash/Trust Nexus</w:t>
      </w:r>
    </w:p>
    <w:p>
      <w:pPr>
        <w:spacing w:after="140"/>
      </w:pPr>
      <w:r>
        <w:t xml:space="preserve">Dividend policy refers to the decisions companies make regarding how much of their earnings to distribute to shareholders and in what form. These decisions are crucial because they affect shareholder wealth, investor perceptions, and a company's future growth potential.</w:t>
      </w:r>
    </w:p>
    <w:p>
      <w:pPr>
        <w:pStyle w:val="Heading4"/>
        <w:spacing w:after="80" w:before="200"/>
      </w:pPr>
      <w:r>
        <w:t xml:space="preserve">Dividend Irrelevance and Its Limitations</w:t>
      </w:r>
    </w:p>
    <w:p>
      <w:pPr>
        <w:spacing w:after="140"/>
      </w:pPr>
      <w:r>
        <w:t xml:space="preserve">The Miller-Modigliani Dividend Irrelevance Hypothesis, in a world without taxes, transaction costs, or information asymmetry, states that a company's dividend policy does not affect its stock price or its cost of capital. Investors can create their own 'dividends' by selling a portion of their shares if they need cash, or reinvesting dividends if they prefer growth. This theory suggests that the value of the firm is determined by its earning power and risk, not by how it distributes cash.</w:t>
      </w:r>
    </w:p>
    <w:p>
      <w:pPr>
        <w:spacing w:after="140"/>
      </w:pPr>
      <w:r>
        <w:t xml:space="preserve">However, the real world is not perfect. Several factors make dividend policy relevant:</w:t>
      </w:r>
    </w:p>
    <w:p>
      <w:pPr>
        <w:pStyle w:val="ListParagraph"/>
        <w:numPr>
          <w:ilvl w:val="0"/>
          <w:numId w:val="1"/>
        </w:numPr>
        <w:spacing w:after="60"/>
      </w:pPr>
      <w:r>
        <w:rPr>
          <w:b/>
          <w:bCs/>
        </w:rPr>
        <w:t xml:space="preserve">Taxes:</w:t>
      </w:r>
      <w:r>
        <w:t xml:space="preserve"> Dividends are often taxed differently than capital gains, which can influence investor preferences.</w:t>
      </w:r>
    </w:p>
    <w:p>
      <w:pPr>
        <w:pStyle w:val="ListParagraph"/>
        <w:numPr>
          <w:ilvl w:val="0"/>
          <w:numId w:val="1"/>
        </w:numPr>
        <w:spacing w:after="60"/>
      </w:pPr>
      <w:r>
        <w:rPr>
          <w:b/>
          <w:bCs/>
        </w:rPr>
        <w:t xml:space="preserve">Transaction Costs:</w:t>
      </w:r>
      <w:r>
        <w:t xml:space="preserve"> Selling shares to create 'homemade dividends' incurs brokerage fees.</w:t>
      </w:r>
    </w:p>
    <w:p>
      <w:pPr>
        <w:pStyle w:val="ListParagraph"/>
        <w:numPr>
          <w:ilvl w:val="0"/>
          <w:numId w:val="1"/>
        </w:numPr>
        <w:spacing w:after="60"/>
      </w:pPr>
      <w:r>
        <w:rPr>
          <w:b/>
          <w:bCs/>
        </w:rPr>
        <w:t xml:space="preserve">Information Asymmetry and Signaling:</w:t>
      </w:r>
      <w:r>
        <w:t xml:space="preserve"> Dividends can signal a company's financial health and future prospects. An increase in dividends often suggests management's confidence in future earnings, while a cut can signal distress.</w:t>
      </w:r>
    </w:p>
    <w:p>
      <w:pPr>
        <w:pStyle w:val="ListParagraph"/>
        <w:numPr>
          <w:ilvl w:val="0"/>
          <w:numId w:val="1"/>
        </w:numPr>
        <w:spacing w:after="60"/>
      </w:pPr>
      <w:r>
        <w:rPr>
          <w:b/>
          <w:bCs/>
        </w:rPr>
        <w:t xml:space="preserve">Clientele Effect:</w:t>
      </w:r>
      <w:r>
        <w:t xml:space="preserve"> Different investor groups have different preferences for dividends. For example, retirees may prefer high-dividend stocks for income, while growth-oriented investors may prefer companies that retain earnings for reinvestment. Companies tend to attract a specific 'clientele' based on their dividend policy.</w:t>
      </w:r>
    </w:p>
    <w:p>
      <w:pPr>
        <w:pStyle w:val="ListParagraph"/>
        <w:numPr>
          <w:ilvl w:val="0"/>
          <w:numId w:val="1"/>
        </w:numPr>
        <w:spacing w:after="60"/>
      </w:pPr>
      <w:r>
        <w:rPr>
          <w:b/>
          <w:bCs/>
        </w:rPr>
        <w:t xml:space="preserve">Agency Costs:</w:t>
      </w:r>
      <w:r>
        <w:t xml:space="preserve"> Managers might prefer to retain earnings for their own empire-building or to avoid external scrutiny, even if shareholders would prefer the cash. Dividends can reduce free cash flow, thereby mitigating agency problems by forcing managers to be more disciplined with capital allocation.</w:t>
      </w:r>
    </w:p>
    <w:p>
      <w:pPr>
        <w:pStyle w:val="Heading4"/>
        <w:spacing w:after="80" w:before="200"/>
      </w:pPr>
      <w:r>
        <w:t xml:space="preserve">Actual versus Potential Dividends</w:t>
      </w:r>
    </w:p>
    <w:p>
      <w:pPr>
        <w:spacing w:after="140"/>
      </w:pPr>
      <w:r>
        <w:t xml:space="preserve">Actual dividends are the cash payments explicitly declared and paid to shareholders. Potential dividends represent the total amount of cash a company </w:t>
      </w:r>
      <w:r>
        <w:rPr>
          <w:i/>
          <w:iCs/>
        </w:rPr>
        <w:t xml:space="preserve">could</w:t>
      </w:r>
      <w:r>
        <w:t xml:space="preserve"> distribute to shareholders, including free cash flow to equity (FCFE) that is not reinvested in profitable projects. A significant gap between potential and actual dividends can indicate a company is accumulating excess cash. This excess cash can be a source of both opportunity and concern.</w:t>
      </w:r>
    </w:p>
    <w:p>
      <w:pPr>
        <w:pStyle w:val="Heading4"/>
        <w:spacing w:after="80" w:before="200"/>
      </w:pPr>
      <w:r>
        <w:t xml:space="preserve">The Cash/Trust Nexus</w:t>
      </w:r>
    </w:p>
    <w:p>
      <w:pPr>
        <w:spacing w:after="140"/>
      </w:pPr>
      <w:r>
        <w:t xml:space="preserve">When a company consistently generates substantial free cash flow that it does not reinvest in profitable projects or distribute to shareholders, it accumulates cash on its balance sheet. This accumulation creates a 'cash/trust nexus.' If investors trust management to use this cash wisely (e.g., for future value-enhancing investments, strategic acquisitions, or eventual distributions), they may not penalize the stock. However, if trust is low, investors may view excess cash as a sign of poor capital allocation, leading to lower valuations. Management might use the cash for suboptimal projects, or it might become a target for activist investors.</w:t>
      </w:r>
    </w:p>
    <w:p>
      <w:pPr>
        <w:spacing w:after="140"/>
      </w:pPr>
      <w:r>
        <w:t xml:space="preserve">To address this, companies have alternatives to cash dividends for returning cash to shareholders:</w:t>
      </w:r>
    </w:p>
    <w:p>
      <w:pPr>
        <w:pStyle w:val="ListParagraph"/>
        <w:numPr>
          <w:ilvl w:val="0"/>
          <w:numId w:val="1"/>
        </w:numPr>
        <w:spacing w:after="60"/>
      </w:pPr>
      <w:r>
        <w:rPr>
          <w:b/>
          <w:bCs/>
        </w:rPr>
        <w:t xml:space="preserve">Share Repurchases:</w:t>
      </w:r>
      <w:r>
        <w:t xml:space="preserve"> A company buys back its own shares from the open market. This reduces the number of outstanding shares, increasing earnings per share (EPS) and often the stock price. Share repurchases are often more tax-efficient for investors than dividends and offer greater flexibility to management, as they are not perceived as a permanent commitment like dividends.</w:t>
      </w:r>
    </w:p>
    <w:p>
      <w:pPr>
        <w:pStyle w:val="ListParagraph"/>
        <w:numPr>
          <w:ilvl w:val="0"/>
          <w:numId w:val="1"/>
        </w:numPr>
        <w:spacing w:after="60"/>
      </w:pPr>
      <w:r>
        <w:rPr>
          <w:b/>
          <w:bCs/>
        </w:rPr>
        <w:t xml:space="preserve">Special Dividends:</w:t>
      </w:r>
      <w:r>
        <w:t xml:space="preserve"> One-time, non-recurring dividends paid when a company has an exceptionally good year or sells an asset.</w:t>
      </w:r>
    </w:p>
    <w:p>
      <w:pPr>
        <w:spacing w:after="140"/>
      </w:pPr>
      <w:r>
        <w:t xml:space="preserve">The choice between dividends and share repurchases depends on tax laws, investor preferences, and management's desire for flexibility. The overarching goal is to return cash to shareholders when the company cannot generate higher returns from reinvesting those funds than shareholders could achieve themselves.</w:t>
      </w:r>
    </w:p>
    <w:p>
      <w:pPr>
        <w:pStyle w:val="Heading3"/>
      </w:pPr>
      <w:r>
        <w:t xml:space="preserve">Key Takeaways</w:t>
      </w:r>
    </w:p>
    <w:p>
      <w:pPr>
        <w:pStyle w:val="ListParagraph"/>
        <w:numPr>
          <w:ilvl w:val="0"/>
          <w:numId w:val="1"/>
        </w:numPr>
        <w:spacing w:after="60"/>
      </w:pPr>
      <w:r>
        <w:t xml:space="preserve">Optimal capital structure balances the tax benefits of debt against the costs of financial distress to minimize the Weighted Average Cost of Capital (WACC) and maximize firm value.</w:t>
      </w:r>
    </w:p>
    <w:p>
      <w:pPr>
        <w:pStyle w:val="ListParagraph"/>
        <w:numPr>
          <w:ilvl w:val="0"/>
          <w:numId w:val="1"/>
        </w:numPr>
        <w:spacing w:after="60"/>
      </w:pPr>
      <w:r>
        <w:t xml:space="preserve">The Miller-Modigliani propositions provide a theoretical framework, showing that capital structure matters due to taxes and market imperfections.</w:t>
      </w:r>
    </w:p>
    <w:p>
      <w:pPr>
        <w:pStyle w:val="ListParagraph"/>
        <w:numPr>
          <w:ilvl w:val="0"/>
          <w:numId w:val="1"/>
        </w:numPr>
        <w:spacing w:after="60"/>
      </w:pPr>
      <w:r>
        <w:t xml:space="preserve">Companies often follow a pecking order for financing, preferring internal funds, then debt, and finally external equity, driven by information asymmetry.</w:t>
      </w:r>
    </w:p>
    <w:p>
      <w:pPr>
        <w:pStyle w:val="ListParagraph"/>
        <w:numPr>
          <w:ilvl w:val="0"/>
          <w:numId w:val="1"/>
        </w:numPr>
        <w:spacing w:after="60"/>
      </w:pPr>
      <w:r>
        <w:t xml:space="preserve">Debt design involves crucial choices regarding maturity, interest type, convertibility, seniority, collateral, and covenants, all of which impact cost and flexibility.</w:t>
      </w:r>
    </w:p>
    <w:p>
      <w:pPr>
        <w:pStyle w:val="ListParagraph"/>
        <w:numPr>
          <w:ilvl w:val="0"/>
          <w:numId w:val="1"/>
        </w:numPr>
        <w:spacing w:after="60"/>
      </w:pPr>
      <w:r>
        <w:t xml:space="preserve">Dividend policy determines how companies distribute earnings to shareholders, influencing investor perceptions and stock valuation.</w:t>
      </w:r>
    </w:p>
    <w:p>
      <w:pPr>
        <w:pStyle w:val="ListParagraph"/>
        <w:numPr>
          <w:ilvl w:val="0"/>
          <w:numId w:val="1"/>
        </w:numPr>
        <w:spacing w:after="60"/>
      </w:pPr>
      <w:r>
        <w:t xml:space="preserve">While theoretically irrelevant in perfect markets, dividends matter due to taxes, transaction costs, signaling, clientele effects, and agency costs.</w:t>
      </w:r>
    </w:p>
    <w:p>
      <w:pPr>
        <w:pStyle w:val="ListParagraph"/>
        <w:numPr>
          <w:ilvl w:val="0"/>
          <w:numId w:val="1"/>
        </w:numPr>
        <w:spacing w:after="60"/>
      </w:pPr>
      <w:r>
        <w:t xml:space="preserve">Excess cash flow not reinvested or distributed can create a 'cash/trust nexus,' where investor trust in management's capital allocation decisions is paramount.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primary trade-off a company faces when deciding on its capital structure.</w:t>
      </w:r>
    </w:p>
    <w:p>
      <w:pPr>
        <w:spacing w:after="60"/>
      </w:pPr>
      <w:r>
        <w:t xml:space="preserve">2. </w:t>
      </w:r>
      <w:r>
        <w:t xml:space="preserve">How does the Cost of Capital Approach help a company determine its optimal capital structure?</w:t>
      </w:r>
    </w:p>
    <w:p>
      <w:pPr>
        <w:spacing w:after="60"/>
      </w:pPr>
      <w:r>
        <w:t xml:space="preserve">3. </w:t>
      </w:r>
      <w:r>
        <w:t xml:space="preserve">List and briefly describe three key features of debt design.</w:t>
      </w:r>
    </w:p>
    <w:p>
      <w:pPr>
        <w:spacing w:after="60"/>
      </w:pPr>
      <w:r>
        <w:t xml:space="preserve">4. </w:t>
      </w:r>
      <w:r>
        <w:t xml:space="preserve">According to the Miller-Modigliani Dividend Irrelevance Hypothesis (without taxes), why does dividend policy not affect firm value?</w:t>
      </w:r>
    </w:p>
    <w:p>
      <w:pPr>
        <w:spacing w:after="60"/>
      </w:pPr>
      <w:r>
        <w:t xml:space="preserve">5. </w:t>
      </w:r>
      <w:r>
        <w:t xml:space="preserve">Why might a company choose to repurchase shares instead of paying cash dividends?</w:t>
      </w:r>
    </w:p>
    <w:p>
      <w:pPr>
        <w:pStyle w:val="Heading1"/>
        <w:pageBreakBefore/>
      </w:pPr>
      <w:r>
        <w:t xml:space="preserve">Chapter 4: Valuation Principles and Practice</w:t>
      </w:r>
    </w:p>
    <w:p>
      <w:pPr>
        <w:spacing w:after="140"/>
      </w:pPr>
      <w:r>
        <w:t xml:space="preserve">This chapter concludes our study of corporate finance by bringing together the principles of investment, financing, and dividend decisions into the crucial practice of valuation. We begin by examining how dividend policy connects to the cash flows available for valuation, then lay the groundwork for understanding intrinsic value. You will learn the fundamental components of discounted cash flow models, including how to estimate free cash flows, determine appropriate discount rates, and calculate terminal value.</w:t>
      </w:r>
    </w:p>
    <w:p>
      <w:pPr>
        <w:spacing w:after="140"/>
      </w:pPr>
      <w:r>
        <w:t xml:space="preserve">The chapter then moves to practical applications, guiding you through the construction of comprehensive valuation models. We will explore both intrinsic and relative valuation techniques, highlighting their strengths and weaknesses. Finally, we address common pitfalls in valuation, emphasize the importance of consistency in assumptions, and show how valuation serves as the ultimate tool for making informed corporate finance decisions and creating real-world value.</w:t>
      </w:r>
    </w:p>
    <w:p>
      <w:pPr>
        <w:pStyle w:val="Heading2"/>
      </w:pPr>
      <w:r>
        <w:t xml:space="preserve">Foundations of Valuation and Cash Flow Analysis</w:t>
      </w:r>
    </w:p>
    <w:p>
      <w:pPr>
        <w:spacing w:after="120"/>
      </w:pPr>
      <w:r>
        <w:rPr>
          <w:rFonts w:ascii="Arial" w:cs="Arial" w:eastAsia="Arial" w:hAnsi="Arial"/>
          <w:color w:val="666666"/>
          <w:sz w:val="15"/>
          <w:szCs w:val="15"/>
        </w:rPr>
        <w:t xml:space="preserve">Covers: Session 24: Dividend Closure &amp; First Steps on Valuation · Session 25: Valuation 101</w:t>
      </w:r>
    </w:p>
    <w:p>
      <w:pPr>
        <w:spacing w:after="140"/>
      </w:pPr>
      <w:r>
        <w:t xml:space="preserve">This section establishes the bedrock of valuation, starting with how a firm's dividend policy relates to the cash flows available to its investors. We then introduce the fundamental principle of intrinsic valuation: that the value of any asset is the present value of its expected future cash flows.</w:t>
      </w:r>
    </w:p>
    <w:p>
      <w:pPr>
        <w:pStyle w:val="Heading4"/>
        <w:spacing w:after="80" w:before="200"/>
      </w:pPr>
      <w:r>
        <w:t xml:space="preserve">The Link Between Dividends and Valuation</w:t>
      </w:r>
    </w:p>
    <w:p>
      <w:pPr>
        <w:spacing w:after="140"/>
      </w:pPr>
      <w:r>
        <w:t xml:space="preserve">Before getting into cash flow estimation, it is important to understand the role of dividends. In a perfect capital market, dividend policy itself does not affect a firm's value. This is the Modigliani-Miller dividend irrelevance theorem. What matters is the firm's investment and financing decisions, which determine the total cash flows generated. However, in the real world, dividend policy reflects how a firm chooses to return cash to shareholders. This choice, whether through dividends or share buybacks, influences the cash flows </w:t>
      </w:r>
      <w:r>
        <w:rPr>
          <w:i/>
          <w:iCs/>
        </w:rPr>
        <w:t xml:space="preserve">available</w:t>
      </w:r>
      <w:r>
        <w:t xml:space="preserve"> to equity investors. For valuation purposes, we focus on the firm's ability to generate cash, regardless of how that cash is distributed.</w:t>
      </w:r>
    </w:p>
    <w:p>
      <w:pPr>
        <w:pStyle w:val="Heading4"/>
        <w:spacing w:after="80" w:before="200"/>
      </w:pPr>
      <w:r>
        <w:t xml:space="preserve">The First Principles of Valuation</w:t>
      </w:r>
    </w:p>
    <w:p>
      <w:pPr>
        <w:spacing w:after="140"/>
      </w:pPr>
      <w:r>
        <w:t xml:space="preserve">Valuation begins with a simple idea: the value of an asset is determined by the cash flows it is expected to generate, the uncertainty of those cash flows (risk), and when those cash flows are expected to occur (time value of money). For a business, this means valuing the entire enterprise or just its equity.</w:t>
      </w:r>
    </w:p>
    <w:p>
      <w:pPr>
        <w:spacing w:after="140"/>
      </w:pPr>
      <w:r>
        <w:t xml:space="preserve">There are two primary approaches to intrinsic valuation:</w:t>
      </w:r>
    </w:p>
    <w:p>
      <w:pPr>
        <w:pStyle w:val="ListParagraph"/>
        <w:numPr>
          <w:ilvl w:val="0"/>
          <w:numId w:val="2"/>
        </w:numPr>
        <w:spacing w:after="60"/>
      </w:pPr>
      <w:r>
        <w:rPr>
          <w:b/>
          <w:bCs/>
        </w:rPr>
        <w:t xml:space="preserve">Discounted Cash Flow (DCF) Valuation:</w:t>
      </w:r>
      <w:r>
        <w:t xml:space="preserve"> This approach values an asset by discounting its expected future cash flows back to the present at a rate that reflects the riskiness of those cash flows.</w:t>
      </w:r>
    </w:p>
    <w:p>
      <w:pPr>
        <w:pStyle w:val="ListParagraph"/>
        <w:numPr>
          <w:ilvl w:val="0"/>
          <w:numId w:val="2"/>
        </w:numPr>
        <w:spacing w:after="60"/>
      </w:pPr>
      <w:r>
        <w:rPr>
          <w:b/>
          <w:bCs/>
        </w:rPr>
        <w:t xml:space="preserve">Asset-Based Valuation:</w:t>
      </w:r>
      <w:r>
        <w:t xml:space="preserve"> This approach values a firm by summing the market values of its individual assets. While less common for operating businesses, it is sometimes used for holding companies or firms with easily separable assets.</w:t>
      </w:r>
    </w:p>
    <w:p>
      <w:pPr>
        <w:spacing w:after="140"/>
      </w:pPr>
      <w:r>
        <w:t xml:space="preserve">Our focus will be on DCF valuation, which is the most comprehensive method for valuing operating businesses.</w:t>
      </w:r>
    </w:p>
    <w:p>
      <w:pPr>
        <w:pStyle w:val="Heading4"/>
        <w:spacing w:after="80" w:before="200"/>
      </w:pPr>
      <w:r>
        <w:t xml:space="preserve">Estimating Free Cash Flow</w:t>
      </w:r>
    </w:p>
    <w:p>
      <w:pPr>
        <w:spacing w:after="140"/>
      </w:pPr>
      <w:r>
        <w:t xml:space="preserve">The core input for DCF valuation is free cash flow. There are two main types:</w:t>
      </w:r>
    </w:p>
    <w:p>
      <w:pPr>
        <w:pStyle w:val="ListParagraph"/>
        <w:numPr>
          <w:ilvl w:val="0"/>
          <w:numId w:val="1"/>
        </w:numPr>
        <w:spacing w:after="60"/>
      </w:pPr>
      <w:r>
        <w:rPr>
          <w:b/>
          <w:bCs/>
        </w:rPr>
        <w:t xml:space="preserve">Free Cash Flow to Equity (FCFE):</w:t>
      </w:r>
      <w:r>
        <w:t xml:space="preserve"> This is the cash flow available to equity holders after all expenses, taxes, reinvestment needs, and debt obligations have been met.
 FCFE is calculated as:</w:t>
      </w:r>
    </w:p>
    <w:p>
      <w:pPr>
        <w:keepLines/>
        <w:shd w:fill="F5F5F5" w:val="clear"/>
        <w:spacing w:after="0" w:line="252"/>
        <w:ind w:left="227" w:right="227"/>
      </w:pPr>
      <w:r>
        <w:rPr>
          <w:rFonts w:ascii="Consolas" w:cs="Consolas" w:eastAsia="Consolas" w:hAnsi="Consolas"/>
          <w:sz w:val="17"/>
          <w:szCs w:val="17"/>
        </w:rPr>
        <w:t xml:space="preserve">Net Income</w:t>
      </w:r>
    </w:p>
    <w:p>
      <w:pPr>
        <w:keepLines/>
        <w:shd w:fill="F5F5F5" w:val="clear"/>
        <w:spacing w:after="0" w:line="252"/>
        <w:ind w:left="227" w:right="227"/>
      </w:pPr>
      <w:r>
        <w:rPr>
          <w:rFonts w:ascii="Consolas" w:cs="Consolas" w:eastAsia="Consolas" w:hAnsi="Consolas"/>
          <w:sz w:val="17"/>
          <w:szCs w:val="17"/>
        </w:rPr>
        <w:t xml:space="preserve">+ Depreciation &amp; Amortization</w:t>
      </w:r>
    </w:p>
    <w:p>
      <w:pPr>
        <w:keepLines/>
        <w:shd w:fill="F5F5F5" w:val="clear"/>
        <w:spacing w:after="0" w:line="252"/>
        <w:ind w:left="227" w:right="227"/>
      </w:pPr>
      <w:r>
        <w:rPr>
          <w:rFonts w:ascii="Consolas" w:cs="Consolas" w:eastAsia="Consolas" w:hAnsi="Consolas"/>
          <w:sz w:val="17"/>
          <w:szCs w:val="17"/>
        </w:rPr>
        <w:t xml:space="preserve">- Capital Expenditures</w:t>
      </w:r>
    </w:p>
    <w:p>
      <w:pPr>
        <w:keepLines/>
        <w:shd w:fill="F5F5F5" w:val="clear"/>
        <w:spacing w:after="0" w:line="252"/>
        <w:ind w:left="227" w:right="227"/>
      </w:pPr>
      <w:r>
        <w:rPr>
          <w:rFonts w:ascii="Consolas" w:cs="Consolas" w:eastAsia="Consolas" w:hAnsi="Consolas"/>
          <w:sz w:val="17"/>
          <w:szCs w:val="17"/>
        </w:rPr>
        <w:t xml:space="preserve">- Change in Non-cash Working Capital</w:t>
      </w:r>
    </w:p>
    <w:p>
      <w:pPr>
        <w:keepLines/>
        <w:shd w:fill="F5F5F5" w:val="clear"/>
        <w:spacing w:after="0" w:line="252"/>
        <w:ind w:left="227" w:right="227"/>
      </w:pPr>
      <w:r>
        <w:rPr>
          <w:rFonts w:ascii="Consolas" w:cs="Consolas" w:eastAsia="Consolas" w:hAnsi="Consolas"/>
          <w:sz w:val="17"/>
          <w:szCs w:val="17"/>
        </w:rPr>
        <w:t xml:space="preserve">- Principal Repayments</w:t>
      </w:r>
    </w:p>
    <w:p>
      <w:pPr>
        <w:keepLines/>
        <w:shd w:fill="F5F5F5" w:val="clear"/>
        <w:spacing w:after="0" w:line="252"/>
        <w:ind w:left="227" w:right="227"/>
      </w:pPr>
      <w:r>
        <w:rPr>
          <w:rFonts w:ascii="Consolas" w:cs="Consolas" w:eastAsia="Consolas" w:hAnsi="Consolas"/>
          <w:sz w:val="17"/>
          <w:szCs w:val="17"/>
        </w:rPr>
        <w:t xml:space="preserve">+ New Debt Issues</w:t>
      </w:r>
    </w:p>
    <w:p>
      <w:pPr>
        <w:keepLines/>
        <w:shd w:fill="F5F5F5" w:val="clear"/>
        <w:spacing w:after="160" w:line="252"/>
        <w:ind w:left="227" w:right="227"/>
      </w:pPr>
      <w:r>
        <w:rPr>
          <w:rFonts w:ascii="Consolas" w:cs="Consolas" w:eastAsia="Consolas" w:hAnsi="Consolas"/>
          <w:sz w:val="17"/>
          <w:szCs w:val="17"/>
        </w:rPr>
        <w:t xml:space="preserve">= FCFE</w:t>
      </w:r>
    </w:p>
    <w:p>
      <w:pPr>
        <w:spacing w:after="140"/>
      </w:pPr>
      <w:r>
        <w:t xml:space="preserve"> Alternatively, a simpler version for firms with stable debt ratios:</w:t>
      </w:r>
    </w:p>
    <w:p>
      <w:pPr>
        <w:keepLines/>
        <w:shd w:fill="F5F5F5" w:val="clear"/>
        <w:spacing w:after="160" w:line="252"/>
        <w:ind w:left="227" w:right="227"/>
      </w:pPr>
      <w:r>
        <w:rPr>
          <w:rFonts w:ascii="Consolas" w:cs="Consolas" w:eastAsia="Consolas" w:hAnsi="Consolas"/>
          <w:sz w:val="17"/>
          <w:szCs w:val="17"/>
        </w:rPr>
        <w:t xml:space="preserve">FCFE = Net Income - (Capital Expenditures - Depreciation) * (1 - Debt Ratio) - Change in Non-cash Working Capital * (1 - Debt Ratio)</w:t>
      </w:r>
    </w:p>
    <w:p>
      <w:pPr>
        <w:pStyle w:val="ListParagraph"/>
        <w:numPr>
          <w:ilvl w:val="0"/>
          <w:numId w:val="1"/>
        </w:numPr>
        <w:spacing w:after="60"/>
      </w:pPr>
      <w:r>
        <w:rPr>
          <w:b/>
          <w:bCs/>
        </w:rPr>
        <w:t xml:space="preserve">Free Cash Flow to Firm (FCFF):</w:t>
      </w:r>
      <w:r>
        <w:t xml:space="preserve"> This is the cash flow available to </w:t>
      </w:r>
      <w:r>
        <w:rPr>
          <w:i/>
          <w:iCs/>
        </w:rPr>
        <w:t xml:space="preserve">all</w:t>
      </w:r>
      <w:r>
        <w:t xml:space="preserve"> capital providers (debt and equity holders) after all expenses, taxes, and reinvestment needs have been met.
 FCFF is calculated as:</w:t>
      </w:r>
    </w:p>
    <w:p>
      <w:pPr>
        <w:keepLines/>
        <w:shd w:fill="F5F5F5" w:val="clear"/>
        <w:spacing w:after="0" w:line="252"/>
        <w:ind w:left="227" w:right="227"/>
      </w:pPr>
      <w:r>
        <w:rPr>
          <w:rFonts w:ascii="Consolas" w:cs="Consolas" w:eastAsia="Consolas" w:hAnsi="Consolas"/>
          <w:sz w:val="17"/>
          <w:szCs w:val="17"/>
        </w:rPr>
        <w:t xml:space="preserve">EBIT (1 - Tax Rate)</w:t>
      </w:r>
    </w:p>
    <w:p>
      <w:pPr>
        <w:keepLines/>
        <w:shd w:fill="F5F5F5" w:val="clear"/>
        <w:spacing w:after="0" w:line="252"/>
        <w:ind w:left="227" w:right="227"/>
      </w:pPr>
      <w:r>
        <w:rPr>
          <w:rFonts w:ascii="Consolas" w:cs="Consolas" w:eastAsia="Consolas" w:hAnsi="Consolas"/>
          <w:sz w:val="17"/>
          <w:szCs w:val="17"/>
        </w:rPr>
        <w:t xml:space="preserve">+ Depreciation &amp; Amortization</w:t>
      </w:r>
    </w:p>
    <w:p>
      <w:pPr>
        <w:keepLines/>
        <w:shd w:fill="F5F5F5" w:val="clear"/>
        <w:spacing w:after="0" w:line="252"/>
        <w:ind w:left="227" w:right="227"/>
      </w:pPr>
      <w:r>
        <w:rPr>
          <w:rFonts w:ascii="Consolas" w:cs="Consolas" w:eastAsia="Consolas" w:hAnsi="Consolas"/>
          <w:sz w:val="17"/>
          <w:szCs w:val="17"/>
        </w:rPr>
        <w:t xml:space="preserve">- Capital Expenditures</w:t>
      </w:r>
    </w:p>
    <w:p>
      <w:pPr>
        <w:keepLines/>
        <w:shd w:fill="F5F5F5" w:val="clear"/>
        <w:spacing w:after="0" w:line="252"/>
        <w:ind w:left="227" w:right="227"/>
      </w:pPr>
      <w:r>
        <w:rPr>
          <w:rFonts w:ascii="Consolas" w:cs="Consolas" w:eastAsia="Consolas" w:hAnsi="Consolas"/>
          <w:sz w:val="17"/>
          <w:szCs w:val="17"/>
        </w:rPr>
        <w:t xml:space="preserve">- Change in Non-cash Working Capital</w:t>
      </w:r>
    </w:p>
    <w:p>
      <w:pPr>
        <w:keepLines/>
        <w:shd w:fill="F5F5F5" w:val="clear"/>
        <w:spacing w:after="160" w:line="252"/>
        <w:ind w:left="227" w:right="227"/>
      </w:pPr>
      <w:r>
        <w:rPr>
          <w:rFonts w:ascii="Consolas" w:cs="Consolas" w:eastAsia="Consolas" w:hAnsi="Consolas"/>
          <w:sz w:val="17"/>
          <w:szCs w:val="17"/>
        </w:rPr>
        <w:t xml:space="preserve">= FCFF</w:t>
      </w:r>
    </w:p>
    <w:p>
      <w:pPr>
        <w:spacing w:after="140"/>
      </w:pPr>
      <w:r>
        <w:t xml:space="preserve"> EBIT stands for Earnings Before Interest and Taxes. The term EBIT (1 - Tax Rate) is also known as NOPAT (Net Operating Profit After Tax).</w:t>
      </w:r>
    </w:p>
    <w:p>
      <w:pPr>
        <w:spacing w:after="140"/>
      </w:pPr>
      <w:r>
        <w:t xml:space="preserve">The choice between FCFE and FCFF depends on whether you are valuing the equity of the firm (FCFE) or the entire firm (FCFF). If you use FCFE, you discount it at the Cost of Equity. If you use FCFF, you discount it at the Weighted Average Cost of Capital (WACC). It is critical to be consistent.</w:t>
      </w:r>
    </w:p>
    <w:p>
      <w:pPr>
        <w:pStyle w:val="Heading4"/>
        <w:spacing w:after="80" w:before="200"/>
      </w:pPr>
      <w:r>
        <w:t xml:space="preserve">The Discount Rate</w:t>
      </w:r>
    </w:p>
    <w:p>
      <w:pPr>
        <w:spacing w:after="140"/>
      </w:pPr>
      <w:r>
        <w:t xml:space="preserve">The discount rate reflects the opportunity cost of investing in a similar asset with similar risk.</w:t>
      </w:r>
    </w:p>
    <w:p>
      <w:pPr>
        <w:pStyle w:val="ListParagraph"/>
        <w:numPr>
          <w:ilvl w:val="0"/>
          <w:numId w:val="1"/>
        </w:numPr>
        <w:spacing w:after="60"/>
      </w:pPr>
      <w:r>
        <w:rPr>
          <w:b/>
          <w:bCs/>
        </w:rPr>
        <w:t xml:space="preserve">Cost of Equity:</w:t>
      </w:r>
      <w:r>
        <w:t xml:space="preserve"> This is the rate of return required by equity investors. It is typically estimated using the Capital Asset Pricing Model (CAPM) or a similar model.</w:t>
      </w:r>
    </w:p>
    <w:p>
      <w:pPr>
        <w:keepLines/>
        <w:shd w:fill="F5F5F5" w:val="clear"/>
        <w:spacing w:after="160" w:line="252"/>
        <w:ind w:left="227" w:right="227"/>
      </w:pPr>
      <w:r>
        <w:rPr>
          <w:rFonts w:ascii="Consolas" w:cs="Consolas" w:eastAsia="Consolas" w:hAnsi="Consolas"/>
          <w:sz w:val="17"/>
          <w:szCs w:val="17"/>
        </w:rPr>
        <w:t xml:space="preserve">Cost of Equity = Risk-Free Rate + Beta * Equity Risk Premium</w:t>
      </w:r>
    </w:p>
    <w:p>
      <w:pPr>
        <w:pStyle w:val="ListParagraph"/>
        <w:numPr>
          <w:ilvl w:val="0"/>
          <w:numId w:val="1"/>
        </w:numPr>
        <w:spacing w:after="60"/>
      </w:pPr>
      <w:r>
        <w:rPr>
          <w:b/>
          <w:bCs/>
        </w:rPr>
        <w:t xml:space="preserve">Cost of Debt:</w:t>
      </w:r>
      <w:r>
        <w:t xml:space="preserve"> This is the rate a company pays on its borrowings, adjusted for taxes.</w:t>
      </w:r>
    </w:p>
    <w:p>
      <w:pPr>
        <w:keepLines/>
        <w:shd w:fill="F5F5F5" w:val="clear"/>
        <w:spacing w:after="160" w:line="252"/>
        <w:ind w:left="227" w:right="227"/>
      </w:pPr>
      <w:r>
        <w:rPr>
          <w:rFonts w:ascii="Consolas" w:cs="Consolas" w:eastAsia="Consolas" w:hAnsi="Consolas"/>
          <w:sz w:val="17"/>
          <w:szCs w:val="17"/>
        </w:rPr>
        <w:t xml:space="preserve">After-Tax Cost of Debt = Pre-Tax Cost of Debt * (1 - Tax Rate)</w:t>
      </w:r>
    </w:p>
    <w:p>
      <w:pPr>
        <w:pStyle w:val="ListParagraph"/>
        <w:numPr>
          <w:ilvl w:val="0"/>
          <w:numId w:val="1"/>
        </w:numPr>
        <w:spacing w:after="60"/>
      </w:pPr>
      <w:r>
        <w:rPr>
          <w:b/>
          <w:bCs/>
        </w:rPr>
        <w:t xml:space="preserve">Weighted Average Cost of Capital (WACC):</w:t>
      </w:r>
      <w:r>
        <w:t xml:space="preserve"> This is the average rate of return a company expects to pay to all its capital providers. It is used to discount FCFF.</w:t>
      </w:r>
    </w:p>
    <w:p>
      <w:pPr>
        <w:keepLines/>
        <w:shd w:fill="F5F5F5" w:val="clear"/>
        <w:spacing w:after="160" w:line="252"/>
        <w:ind w:left="227" w:right="227"/>
      </w:pPr>
      <w:r>
        <w:rPr>
          <w:rFonts w:ascii="Consolas" w:cs="Consolas" w:eastAsia="Consolas" w:hAnsi="Consolas"/>
          <w:sz w:val="17"/>
          <w:szCs w:val="17"/>
        </w:rPr>
        <w:t xml:space="preserve">WACC = (Cost of Equity * Equity Weight) + (After-Tax Cost of Debt * Debt Weight)</w:t>
      </w:r>
    </w:p>
    <w:p>
      <w:pPr>
        <w:spacing w:after="140"/>
      </w:pPr>
      <w:r>
        <w:t xml:space="preserve"> The weights should be based on market values, not book values.</w:t>
      </w:r>
    </w:p>
    <w:p>
      <w:pPr>
        <w:spacing w:after="140"/>
      </w:pPr>
      <w:r>
        <w:rPr>
          <w:b/>
          <w:bCs/>
        </w:rPr>
        <w:t xml:space="preserve">Practice Cue:</w:t>
      </w:r>
      <w:r>
        <w:t xml:space="preserve"> Take a recent annual report for a publicly traded company. Identify the necessary items on the income statement and balance sheet to calculate both FCFE and FCFF for the most recent year. Pay close attention to how capital expenditures and working capital changes are presented.</w:t>
      </w:r>
    </w:p>
    <w:p>
      <w:pPr>
        <w:pStyle w:val="Heading2"/>
      </w:pPr>
      <w:r>
        <w:t xml:space="preserve">Discounted Cash Flow Models and Practical Valuation</w:t>
      </w:r>
    </w:p>
    <w:p>
      <w:pPr>
        <w:spacing w:after="120"/>
      </w:pPr>
      <w:r>
        <w:rPr>
          <w:rFonts w:ascii="Arial" w:cs="Arial" w:eastAsia="Arial" w:hAnsi="Arial"/>
          <w:color w:val="666666"/>
          <w:sz w:val="15"/>
          <w:szCs w:val="15"/>
        </w:rPr>
        <w:t xml:space="preserve">Covers: Session 25: Valuation 101 · Session 26: The Fat Lady is Singing!</w:t>
      </w:r>
    </w:p>
    <w:p>
      <w:pPr>
        <w:spacing w:after="140"/>
      </w:pPr>
      <w:r>
        <w:t xml:space="preserve">Building on the foundations of cash flow estimation and discount rates, this section guides you through constructing a complete discounted cash flow (DCF) model. We will cover forecasting future cash flows, calculating terminal value, and integrating these components into a comprehensive valuation. We also explore practical considerations, common pitfalls, and the role of qualitative factors.</w:t>
      </w:r>
    </w:p>
    <w:p>
      <w:pPr>
        <w:pStyle w:val="Heading4"/>
        <w:spacing w:after="80" w:before="200"/>
      </w:pPr>
      <w:r>
        <w:t xml:space="preserve">Building a DCF Model: The Forecast Period</w:t>
      </w:r>
    </w:p>
    <w:p>
      <w:pPr>
        <w:spacing w:after="140"/>
      </w:pPr>
      <w:r>
        <w:t xml:space="preserve">A DCF model typically involves two periods:</w:t>
      </w:r>
    </w:p>
    <w:p>
      <w:pPr>
        <w:pStyle w:val="ListParagraph"/>
        <w:numPr>
          <w:ilvl w:val="0"/>
          <w:numId w:val="2"/>
        </w:numPr>
        <w:spacing w:after="60"/>
      </w:pPr>
      <w:r>
        <w:rPr>
          <w:b/>
          <w:bCs/>
        </w:rPr>
        <w:t xml:space="preserve">Explicit Forecast Period:</w:t>
      </w:r>
      <w:r>
        <w:t xml:space="preserve"> This period, usually 5 to 10 years, involves detailed projections of revenues, expenses, capital expenditures, and working capital. The length depends on the company's predictability and industry lifecycle. For a high-growth company, a longer explicit forecast might be appropriate. For a mature, stable company, a shorter period might suffice.</w:t>
      </w:r>
    </w:p>
    <w:p>
      <w:pPr>
        <w:pStyle w:val="ListParagraph"/>
        <w:numPr>
          <w:ilvl w:val="0"/>
          <w:numId w:val="1"/>
        </w:numPr>
        <w:spacing w:after="60"/>
      </w:pPr>
      <w:r>
        <w:rPr>
          <w:b/>
          <w:bCs/>
        </w:rPr>
        <w:t xml:space="preserve">Step 1: Project Revenue Growth.</w:t>
      </w:r>
      <w:r>
        <w:t xml:space="preserve"> Base this on historical trends, industry outlook, and company-specific strategies.</w:t>
      </w:r>
    </w:p>
    <w:p>
      <w:pPr>
        <w:pStyle w:val="ListParagraph"/>
        <w:numPr>
          <w:ilvl w:val="0"/>
          <w:numId w:val="1"/>
        </w:numPr>
        <w:spacing w:after="60"/>
      </w:pPr>
      <w:r>
        <w:rPr>
          <w:b/>
          <w:bCs/>
        </w:rPr>
        <w:t xml:space="preserve">Step 2: Project Operating Margins and Expenses.</w:t>
      </w:r>
      <w:r>
        <w:t xml:space="preserve"> Relate these to revenues, considering economies of scale or competitive pressures.</w:t>
      </w:r>
    </w:p>
    <w:p>
      <w:pPr>
        <w:pStyle w:val="ListParagraph"/>
        <w:numPr>
          <w:ilvl w:val="0"/>
          <w:numId w:val="1"/>
        </w:numPr>
        <w:spacing w:after="60"/>
      </w:pPr>
      <w:r>
        <w:rPr>
          <w:b/>
          <w:bCs/>
        </w:rPr>
        <w:t xml:space="preserve">Step 3: Project Reinvestment Needs.</w:t>
      </w:r>
      <w:r>
        <w:t xml:space="preserve"> This includes capital expenditures and changes in non-cash working capital. Reinvestment drives future growth. A common mistake is to assume high growth without adequate reinvestment.</w:t>
      </w:r>
    </w:p>
    <w:p>
      <w:pPr>
        <w:pStyle w:val="ListParagraph"/>
        <w:numPr>
          <w:ilvl w:val="0"/>
          <w:numId w:val="1"/>
        </w:numPr>
        <w:spacing w:after="60"/>
      </w:pPr>
      <w:r>
        <w:rPr>
          <w:b/>
          <w:bCs/>
        </w:rPr>
        <w:t xml:space="preserve">Step 4: Calculate FCFF or FCFE for each year.</w:t>
      </w:r>
      <w:r>
        <w:t xml:space="preserve"> Use the formulas from the previous section.</w:t>
      </w:r>
    </w:p>
    <w:p>
      <w:pPr>
        <w:pStyle w:val="Heading4"/>
        <w:spacing w:after="80" w:before="200"/>
      </w:pPr>
      <w:r>
        <w:t xml:space="preserve">Terminal Value Calculation</w:t>
      </w:r>
    </w:p>
    <w:p>
      <w:pPr>
        <w:spacing w:after="140"/>
      </w:pPr>
      <w:r>
        <w:t xml:space="preserve">Since we cannot forecast cash flows indefinitely, we estimate a "terminal value" at the end of the explicit forecast period. This represents the value of all cash flows beyond the forecast horizon. The most common methods are:</w:t>
      </w:r>
    </w:p>
    <w:p>
      <w:pPr>
        <w:pStyle w:val="ListParagraph"/>
        <w:numPr>
          <w:ilvl w:val="0"/>
          <w:numId w:val="2"/>
        </w:numPr>
        <w:spacing w:after="60"/>
      </w:pPr>
      <w:r>
        <w:rPr>
          <w:b/>
          <w:bCs/>
        </w:rPr>
        <w:t xml:space="preserve">Gordon Growth Model (Constant Growth Perpetuity):</w:t>
      </w:r>
      <w:r>
        <w:t xml:space="preserve"> Assumes cash flows grow at a constant rate forever.</w:t>
      </w:r>
    </w:p>
    <w:p>
      <w:pPr>
        <w:keepLines/>
        <w:shd w:fill="F5F5F5" w:val="clear"/>
        <w:spacing w:after="160" w:line="252"/>
        <w:ind w:left="227" w:right="227"/>
      </w:pPr>
      <w:r>
        <w:rPr>
          <w:rFonts w:ascii="Consolas" w:cs="Consolas" w:eastAsia="Consolas" w:hAnsi="Consolas"/>
          <w:sz w:val="17"/>
          <w:szCs w:val="17"/>
        </w:rPr>
        <w:t xml:space="preserve">Terminal Value = FCFF (or FCFE) in Year (n+1) / (Discount Rate - Growth Rate)</w:t>
      </w:r>
    </w:p>
    <w:p>
      <w:pPr>
        <w:spacing w:after="140"/>
      </w:pPr>
      <w:r>
        <w:t xml:space="preserve"> Where 'n' is the last year of the explicit forecast. The growth rate must be sustainable and less than the discount rate. A common proxy for the sustainable growth rate is the long-term nominal growth rate of the economy.
2. </w:t>
      </w:r>
      <w:r>
        <w:rPr>
          <w:b/>
          <w:bCs/>
        </w:rPr>
        <w:t xml:space="preserve">Liquidation Value:</w:t>
      </w:r>
      <w:r>
        <w:t xml:space="preserve"> Assumes the company is liquidated at the end of the forecast period. This is rarely used for ongoing businesses.
3. </w:t>
      </w:r>
      <w:r>
        <w:rPr>
          <w:b/>
          <w:bCs/>
        </w:rPr>
        <w:t xml:space="preserve">Multiple Approach:</w:t>
      </w:r>
      <w:r>
        <w:t xml:space="preserve"> Applies an industry average multiple (e.g., EV/EBITDA, P/E) to the company's projected earnings or cash flow in the terminal year. While simpler, this blends intrinsic and relative valuation and can be less robust.</w:t>
      </w:r>
    </w:p>
    <w:p>
      <w:pPr>
        <w:spacing w:after="140"/>
      </w:pPr>
      <w:r>
        <w:t xml:space="preserve">Once the terminal value is calculated, it must also be discounted back to the present.</w:t>
      </w:r>
    </w:p>
    <w:p>
      <w:pPr>
        <w:pStyle w:val="Heading4"/>
        <w:spacing w:after="80" w:before="200"/>
      </w:pPr>
      <w:r>
        <w:t xml:space="preserve">Bringing It All Together: Intrinsic Value</w:t>
      </w:r>
    </w:p>
    <w:p>
      <w:pPr>
        <w:spacing w:after="140"/>
      </w:pPr>
      <w:r>
        <w:t xml:space="preserve">The intrinsic value of the firm (or equity) is the sum of the present values of the explicit forecast period cash flows and the present value of the terminal value.</w:t>
      </w:r>
    </w:p>
    <w:p>
      <w:pPr>
        <w:keepLines/>
        <w:shd w:fill="F5F5F5" w:val="clear"/>
        <w:spacing w:after="160" w:line="252"/>
        <w:ind w:left="227" w:right="227"/>
      </w:pPr>
      <w:r>
        <w:rPr>
          <w:rFonts w:ascii="Consolas" w:cs="Consolas" w:eastAsia="Consolas" w:hAnsi="Consolas"/>
          <w:sz w:val="17"/>
          <w:szCs w:val="17"/>
        </w:rPr>
        <w:t xml:space="preserve">Firm Value = PV(FCFF_1) + PV(FCFF_2) + ... + PV(FCFF_n) + PV(Terminal Value)</w:t>
      </w:r>
    </w:p>
    <w:p>
      <w:pPr>
        <w:spacing w:after="140"/>
      </w:pPr>
      <w:r>
        <w:t xml:space="preserve">If you used FCFF, this gives you the </w:t>
      </w:r>
      <w:r>
        <w:rPr>
          <w:b/>
          <w:bCs/>
        </w:rPr>
        <w:t xml:space="preserve">Enterprise Value</w:t>
      </w:r>
      <w:r>
        <w:t xml:space="preserve">. To get to </w:t>
      </w:r>
      <w:r>
        <w:rPr>
          <w:b/>
          <w:bCs/>
        </w:rPr>
        <w:t xml:space="preserve">Equity Value</w:t>
      </w:r>
      <w:r>
        <w:t xml:space="preserve">, subtract the market value of debt and any non-operating assets, then add cash and marketable securities.</w:t>
      </w:r>
    </w:p>
    <w:p>
      <w:pPr>
        <w:keepLines/>
        <w:shd w:fill="F5F5F5" w:val="clear"/>
        <w:spacing w:after="160" w:line="252"/>
        <w:ind w:left="227" w:right="227"/>
      </w:pPr>
      <w:r>
        <w:rPr>
          <w:rFonts w:ascii="Consolas" w:cs="Consolas" w:eastAsia="Consolas" w:hAnsi="Consolas"/>
          <w:sz w:val="17"/>
          <w:szCs w:val="17"/>
        </w:rPr>
        <w:t xml:space="preserve">Equity Value = Enterprise Value - Market Value of Debt + Cash &amp; Marketable Securities</w:t>
      </w:r>
    </w:p>
    <w:p>
      <w:pPr>
        <w:spacing w:after="140"/>
      </w:pPr>
      <w:r>
        <w:t xml:space="preserve">If you used FCFE, the sum of the present values directly gives you the </w:t>
      </w:r>
      <w:r>
        <w:rPr>
          <w:b/>
          <w:bCs/>
        </w:rPr>
        <w:t xml:space="preserve">Equity Value</w:t>
      </w:r>
      <w:r>
        <w:t xml:space="preserve">.
To find the </w:t>
      </w:r>
      <w:r>
        <w:rPr>
          <w:b/>
          <w:bCs/>
        </w:rPr>
        <w:t xml:space="preserve">Value Per Share</w:t>
      </w:r>
      <w:r>
        <w:t xml:space="preserve">, divide the Equity Value by the number of outstanding shares.</w:t>
      </w:r>
    </w:p>
    <w:p>
      <w:pPr>
        <w:pStyle w:val="Heading4"/>
        <w:spacing w:after="80" w:before="200"/>
      </w:pPr>
      <w:r>
        <w:t xml:space="preserve">Relative Valuation: Multiples</w:t>
      </w:r>
    </w:p>
    <w:p>
      <w:pPr>
        <w:spacing w:after="140"/>
      </w:pPr>
      <w:r>
        <w:t xml:space="preserve">While DCF is a powerful intrinsic valuation tool, relative valuation is also widely used. It involves comparing a company's valuation multiples (e.g., P/E ratio, EV/EBITDA, Price/Book) to those of similar companies or industry averages.</w:t>
      </w:r>
    </w:p>
    <w:p>
      <w:pPr>
        <w:pStyle w:val="ListParagraph"/>
        <w:numPr>
          <w:ilvl w:val="0"/>
          <w:numId w:val="1"/>
        </w:numPr>
        <w:spacing w:after="60"/>
      </w:pPr>
      <w:r>
        <w:rPr>
          <w:b/>
          <w:bCs/>
        </w:rPr>
        <w:t xml:space="preserve">Price-to-Earnings (P/E) Ratio:</w:t>
      </w:r>
      <w:r>
        <w:t xml:space="preserve"> Market Price per Share / Earnings per Share. Useful for profitable, mature companies.</w:t>
      </w:r>
    </w:p>
    <w:p>
      <w:pPr>
        <w:pStyle w:val="ListParagraph"/>
        <w:numPr>
          <w:ilvl w:val="0"/>
          <w:numId w:val="1"/>
        </w:numPr>
        <w:spacing w:after="60"/>
      </w:pPr>
      <w:r>
        <w:rPr>
          <w:b/>
          <w:bCs/>
        </w:rPr>
        <w:t xml:space="preserve">Enterprise Value to EBITDA (EV/EBITDA):</w:t>
      </w:r>
      <w:r>
        <w:t xml:space="preserve"> Enterprise Value / Earnings Before Interest, Taxes, Depreciation, and Amortization. Often preferred for comparing companies with different capital structures or depreciation policies.</w:t>
      </w:r>
    </w:p>
    <w:p>
      <w:pPr>
        <w:spacing w:after="140"/>
      </w:pPr>
      <w:r>
        <w:t xml:space="preserve">Relative valuation is quicker but relies on the market being correct for comparable companies. It is best used as a sanity check or in conjunction with intrinsic valuation.</w:t>
      </w:r>
    </w:p>
    <w:p>
      <w:pPr>
        <w:pStyle w:val="Heading4"/>
        <w:spacing w:after="80" w:before="200"/>
      </w:pPr>
      <w:r>
        <w:t xml:space="preserve">Practical Considerations and Common Mistakes</w:t>
      </w:r>
    </w:p>
    <w:p>
      <w:pPr>
        <w:pStyle w:val="ListParagraph"/>
        <w:numPr>
          <w:ilvl w:val="0"/>
          <w:numId w:val="1"/>
        </w:numPr>
        <w:spacing w:after="60"/>
      </w:pPr>
      <w:r>
        <w:rPr>
          <w:b/>
          <w:bCs/>
        </w:rPr>
        <w:t xml:space="preserve">Garbage In, Garbage Out:</w:t>
      </w:r>
      <w:r>
        <w:t xml:space="preserve"> The accuracy of a valuation heavily depends on the quality of inputs. Unrealistic growth rates, incorrect discount rates, or inconsistent assumptions will lead to flawed results.</w:t>
      </w:r>
    </w:p>
    <w:p>
      <w:pPr>
        <w:pStyle w:val="ListParagraph"/>
        <w:numPr>
          <w:ilvl w:val="0"/>
          <w:numId w:val="1"/>
        </w:numPr>
        <w:spacing w:after="60"/>
      </w:pPr>
      <w:r>
        <w:rPr>
          <w:b/>
          <w:bCs/>
        </w:rPr>
        <w:t xml:space="preserve">Consistency is Key:</w:t>
      </w:r>
      <w:r>
        <w:t xml:space="preserve"> Always match the cash flow type (FCFF vs. FCFE) with the appropriate discount rate (WACC vs. Cost of Equity). Also, ensure that debt is handled consistently. If you use FCFF, you value the firm, then subtract debt. If you use FCFE, you are directly valuing equity.</w:t>
      </w:r>
    </w:p>
    <w:p>
      <w:pPr>
        <w:pStyle w:val="ListParagraph"/>
        <w:numPr>
          <w:ilvl w:val="0"/>
          <w:numId w:val="1"/>
        </w:numPr>
        <w:spacing w:after="60"/>
      </w:pPr>
      <w:r>
        <w:rPr>
          <w:b/>
          <w:bCs/>
        </w:rPr>
        <w:t xml:space="preserve">Over-optimism:</w:t>
      </w:r>
      <w:r>
        <w:t xml:space="preserve"> Analysts often project overly optimistic growth rates and margins, especially for young companies. Be conservative and justify every assumption.</w:t>
      </w:r>
    </w:p>
    <w:p>
      <w:pPr>
        <w:pStyle w:val="ListParagraph"/>
        <w:numPr>
          <w:ilvl w:val="0"/>
          <w:numId w:val="1"/>
        </w:numPr>
        <w:spacing w:after="60"/>
      </w:pPr>
      <w:r>
        <w:rPr>
          <w:b/>
          <w:bCs/>
        </w:rPr>
        <w:t xml:space="preserve">Ignoring Qualitative Factors:</w:t>
      </w:r>
      <w:r>
        <w:t xml:space="preserve"> While valuation is quantitative, qualitative aspects (management quality, competitive advantages, regulatory environment) significantly influence future cash flows and risk. These should inform your quantitative assumptions.</w:t>
      </w:r>
    </w:p>
    <w:p>
      <w:pPr>
        <w:pStyle w:val="ListParagraph"/>
        <w:numPr>
          <w:ilvl w:val="0"/>
          <w:numId w:val="1"/>
        </w:numPr>
        <w:spacing w:after="60"/>
      </w:pPr>
      <w:r>
        <w:rPr>
          <w:b/>
          <w:bCs/>
        </w:rPr>
        <w:t xml:space="preserve">Sensitivity Analysis:</w:t>
      </w:r>
      <w:r>
        <w:t xml:space="preserve"> Always perform sensitivity analysis by varying key assumptions (growth rate, discount rate, terminal growth rate) to understand the range of possible values. This helps quantify uncertainty.</w:t>
      </w:r>
    </w:p>
    <w:p>
      <w:pPr>
        <w:spacing w:after="140"/>
      </w:pPr>
      <w:r>
        <w:rPr>
          <w:b/>
          <w:bCs/>
        </w:rPr>
        <w:t xml:space="preserve">Practice Cue:</w:t>
      </w:r>
      <w:r>
        <w:t xml:space="preserve"> Build a simple DCF model in a spreadsheet for a hypothetical company. Assume 5 years of explicit forecasts, then a terminal value using the Gordon Growth Model. Calculate the Enterprise Value and then the Equity Value per share. Experiment with changing the growth rate or WACC to see how it impacts the final valuation.</w:t>
      </w:r>
    </w:p>
    <w:p>
      <w:pPr>
        <w:pStyle w:val="Heading3"/>
      </w:pPr>
      <w:r>
        <w:t xml:space="preserve">Key Takeaways</w:t>
      </w:r>
    </w:p>
    <w:p>
      <w:pPr>
        <w:pStyle w:val="ListParagraph"/>
        <w:numPr>
          <w:ilvl w:val="0"/>
          <w:numId w:val="1"/>
        </w:numPr>
        <w:spacing w:after="60"/>
      </w:pPr>
      <w:r>
        <w:t xml:space="preserve">The intrinsic value of any asset is the present value of its expected future cash flows, discounted at a rate reflecting their risk.</w:t>
      </w:r>
    </w:p>
    <w:p>
      <w:pPr>
        <w:pStyle w:val="ListParagraph"/>
        <w:numPr>
          <w:ilvl w:val="0"/>
          <w:numId w:val="1"/>
        </w:numPr>
        <w:spacing w:after="60"/>
      </w:pPr>
      <w:r>
        <w:t xml:space="preserve">Free Cash Flow to Equity (FCFE) represents cash available to equity holders, while Free Cash Flow to Firm (FCFF) represents cash available to all capital providers.</w:t>
      </w:r>
    </w:p>
    <w:p>
      <w:pPr>
        <w:pStyle w:val="ListParagraph"/>
        <w:numPr>
          <w:ilvl w:val="0"/>
          <w:numId w:val="1"/>
        </w:numPr>
        <w:spacing w:after="60"/>
      </w:pPr>
      <w:r>
        <w:t xml:space="preserve">The discount rate used in valuation must be consistent with the type of cash flow being discounted, typically Cost of Equity for FCFE and WACC for FCFF.</w:t>
      </w:r>
    </w:p>
    <w:p>
      <w:pPr>
        <w:pStyle w:val="ListParagraph"/>
        <w:numPr>
          <w:ilvl w:val="0"/>
          <w:numId w:val="1"/>
        </w:numPr>
        <w:spacing w:after="60"/>
      </w:pPr>
      <w:r>
        <w:t xml:space="preserve">A Discounted Cash Flow (DCF) model involves an explicit forecast period and a terminal value calculation to capture cash flows beyond the forecast horizon.</w:t>
      </w:r>
    </w:p>
    <w:p>
      <w:pPr>
        <w:pStyle w:val="ListParagraph"/>
        <w:numPr>
          <w:ilvl w:val="0"/>
          <w:numId w:val="1"/>
        </w:numPr>
        <w:spacing w:after="60"/>
      </w:pPr>
      <w:r>
        <w:t xml:space="preserve">Terminal value is commonly calculated using the Gordon Growth Model, assuming a perpetual constant growth rate for cash flows.</w:t>
      </w:r>
    </w:p>
    <w:p>
      <w:pPr>
        <w:pStyle w:val="ListParagraph"/>
        <w:numPr>
          <w:ilvl w:val="0"/>
          <w:numId w:val="1"/>
        </w:numPr>
        <w:spacing w:after="60"/>
      </w:pPr>
      <w:r>
        <w:t xml:space="preserve">Relative valuation uses multiples from comparable companies as a quicker alternative or complement to intrinsic valuation.</w:t>
      </w:r>
    </w:p>
    <w:p>
      <w:pPr>
        <w:pStyle w:val="ListParagraph"/>
        <w:numPr>
          <w:ilvl w:val="0"/>
          <w:numId w:val="1"/>
        </w:numPr>
        <w:spacing w:after="60"/>
      </w:pPr>
      <w:r>
        <w:t xml:space="preserve">Successful valuation requires careful estimation of inputs, consistency in assumptions, and consideration of both quantitative and qualitative factors.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fundamental principle of intrinsic valuation, and why is it important to distinguish between FCFE and FCFF?</w:t>
      </w:r>
    </w:p>
    <w:p>
      <w:pPr>
        <w:spacing w:after="60"/>
      </w:pPr>
      <w:r>
        <w:t xml:space="preserve">2. </w:t>
      </w:r>
      <w:r>
        <w:t xml:space="preserve">Explain the two main components of a Discounted Cash Flow (DCF) model and how they are calculated.</w:t>
      </w:r>
    </w:p>
    <w:p>
      <w:pPr>
        <w:spacing w:after="60"/>
      </w:pPr>
      <w:r>
        <w:t xml:space="preserve">3. </w:t>
      </w:r>
      <w:r>
        <w:t xml:space="preserve">Why is consistency crucial when choosing between FCFE and FCFF models, and what are the corresponding discount rates?</w:t>
      </w:r>
    </w:p>
    <w:p>
      <w:pPr>
        <w:spacing w:after="60"/>
      </w:pPr>
      <w:r>
        <w:t xml:space="preserve">4. </w:t>
      </w:r>
      <w:r>
        <w:t xml:space="preserve">Describe a common pitfall in valuation and how sensitivity analysis can help mitigate it.</w:t>
      </w:r>
    </w:p>
    <w:p>
      <w:pPr>
        <w:spacing w:after="60"/>
      </w:pPr>
      <w:r>
        <w:t xml:space="preserve">5. </w:t>
      </w:r>
      <w:r>
        <w:t xml:space="preserve">How does relative valuation differ from intrinsic valuation, and when might it be particularly useful?</w:t>
      </w:r>
    </w:p>
    <w:p>
      <w:pPr>
        <w:pStyle w:val="Heading1"/>
        <w:pageBreakBefore/>
      </w:pPr>
      <w:r>
        <w:t xml:space="preserve">Glossary</w:t>
      </w:r>
    </w:p>
    <w:p>
      <w:pPr>
        <w:spacing w:after="20"/>
      </w:pPr>
      <w:r>
        <w:rPr>
          <w:rFonts w:ascii="Arial" w:cs="Arial" w:eastAsia="Arial" w:hAnsi="Arial"/>
          <w:b/>
          <w:bCs/>
          <w:sz w:val="19"/>
          <w:szCs w:val="19"/>
        </w:rPr>
        <w:t xml:space="preserve">Agency costs</w:t>
      </w:r>
    </w:p>
    <w:p>
      <w:pPr>
        <w:spacing w:after="140"/>
      </w:pPr>
      <w:r>
        <w:t xml:space="preserve">Costs that arise from conflicts of interest between a company's management and its shareholders, often related to the use of free cash flow.</w:t>
      </w:r>
    </w:p>
    <w:p>
      <w:pPr>
        <w:spacing w:after="20"/>
      </w:pPr>
      <w:r>
        <w:rPr>
          <w:rFonts w:ascii="Arial" w:cs="Arial" w:eastAsia="Arial" w:hAnsi="Arial"/>
          <w:b/>
          <w:bCs/>
          <w:sz w:val="19"/>
          <w:szCs w:val="19"/>
        </w:rPr>
        <w:t xml:space="preserve">Agency problem</w:t>
      </w:r>
    </w:p>
    <w:p>
      <w:pPr>
        <w:spacing w:after="140"/>
      </w:pPr>
      <w:r>
        <w:t xml:space="preserve">A conflict of interest inherent in any relationship where one party (the agent) is expected to act in the best interests of another (the principal), but has incentives to act otherwise.</w:t>
      </w:r>
    </w:p>
    <w:p>
      <w:pPr>
        <w:spacing w:after="20"/>
      </w:pPr>
      <w:r>
        <w:rPr>
          <w:rFonts w:ascii="Arial" w:cs="Arial" w:eastAsia="Arial" w:hAnsi="Arial"/>
          <w:b/>
          <w:bCs/>
          <w:sz w:val="19"/>
          <w:szCs w:val="19"/>
        </w:rPr>
        <w:t xml:space="preserve">Beta</w:t>
      </w:r>
    </w:p>
    <w:p>
      <w:pPr>
        <w:spacing w:after="140"/>
      </w:pPr>
      <w:r>
        <w:t xml:space="preserve">A measure of an asset's systematic risk, indicating its sensitivity to overall market movements relative to the market itself.</w:t>
      </w:r>
    </w:p>
    <w:p>
      <w:pPr>
        <w:spacing w:after="20"/>
      </w:pPr>
      <w:r>
        <w:rPr>
          <w:rFonts w:ascii="Arial" w:cs="Arial" w:eastAsia="Arial" w:hAnsi="Arial"/>
          <w:b/>
          <w:bCs/>
          <w:sz w:val="19"/>
          <w:szCs w:val="19"/>
        </w:rPr>
        <w:t xml:space="preserve">Capital asset pricing model (capm)</w:t>
      </w:r>
    </w:p>
    <w:p>
      <w:pPr>
        <w:spacing w:after="140"/>
      </w:pPr>
      <w:r>
        <w:t xml:space="preserve">A model that describes the relationship between systematic risk and expected return for assets, used to calculate the cost of equity.</w:t>
      </w:r>
    </w:p>
    <w:p>
      <w:pPr>
        <w:spacing w:after="20"/>
      </w:pPr>
      <w:r>
        <w:rPr>
          <w:rFonts w:ascii="Arial" w:cs="Arial" w:eastAsia="Arial" w:hAnsi="Arial"/>
          <w:b/>
          <w:bCs/>
          <w:sz w:val="19"/>
          <w:szCs w:val="19"/>
        </w:rPr>
        <w:t xml:space="preserve">Capital structure</w:t>
      </w:r>
    </w:p>
    <w:p>
      <w:pPr>
        <w:spacing w:after="140"/>
      </w:pPr>
      <w:r>
        <w:t xml:space="preserve">The specific mix of debt and equity a company uses to finance its assets.</w:t>
      </w:r>
    </w:p>
    <w:p>
      <w:pPr>
        <w:spacing w:after="20"/>
      </w:pPr>
      <w:r>
        <w:rPr>
          <w:rFonts w:ascii="Arial" w:cs="Arial" w:eastAsia="Arial" w:hAnsi="Arial"/>
          <w:b/>
          <w:bCs/>
          <w:sz w:val="19"/>
          <w:szCs w:val="19"/>
        </w:rPr>
        <w:t xml:space="preserve">Cost of debt</w:t>
      </w:r>
    </w:p>
    <w:p>
      <w:pPr>
        <w:spacing w:after="140"/>
      </w:pPr>
      <w:r>
        <w:t xml:space="preserve">The effective interest rate a company pays on its borrowings, typically calculated on an after-tax basis due to the tax deductibility of interest expenses.</w:t>
      </w:r>
    </w:p>
    <w:p>
      <w:pPr>
        <w:spacing w:after="20"/>
      </w:pPr>
      <w:r>
        <w:rPr>
          <w:rFonts w:ascii="Arial" w:cs="Arial" w:eastAsia="Arial" w:hAnsi="Arial"/>
          <w:b/>
          <w:bCs/>
          <w:sz w:val="19"/>
          <w:szCs w:val="19"/>
        </w:rPr>
        <w:t xml:space="preserve">Cost of equity</w:t>
      </w:r>
    </w:p>
    <w:p>
      <w:pPr>
        <w:spacing w:after="140"/>
      </w:pPr>
      <w:r>
        <w:t xml:space="preserve">The rate of return required by equity investors for bearing the risk of a company's stock, often estimated using CAPM.</w:t>
      </w:r>
    </w:p>
    <w:p>
      <w:pPr>
        <w:spacing w:after="20"/>
      </w:pPr>
      <w:r>
        <w:rPr>
          <w:rFonts w:ascii="Arial" w:cs="Arial" w:eastAsia="Arial" w:hAnsi="Arial"/>
          <w:b/>
          <w:bCs/>
          <w:sz w:val="19"/>
          <w:szCs w:val="19"/>
        </w:rPr>
        <w:t xml:space="preserve">Dividend policy</w:t>
      </w:r>
    </w:p>
    <w:p>
      <w:pPr>
        <w:spacing w:after="140"/>
      </w:pPr>
      <w:r>
        <w:t xml:space="preserve">The decisions a company makes regarding the amount and form of cash distributions to shareholders.</w:t>
      </w:r>
    </w:p>
    <w:p>
      <w:pPr>
        <w:spacing w:after="20"/>
      </w:pPr>
      <w:r>
        <w:rPr>
          <w:rFonts w:ascii="Arial" w:cs="Arial" w:eastAsia="Arial" w:hAnsi="Arial"/>
          <w:b/>
          <w:bCs/>
          <w:sz w:val="19"/>
          <w:szCs w:val="19"/>
        </w:rPr>
        <w:t xml:space="preserve">Equity risk premium (erp)</w:t>
      </w:r>
    </w:p>
    <w:p>
      <w:pPr>
        <w:spacing w:after="140"/>
      </w:pPr>
      <w:r>
        <w:t xml:space="preserve">The additional return investors expect for investing in a broad market portfolio of equities compared to a risk-free asset.</w:t>
      </w:r>
    </w:p>
    <w:p>
      <w:pPr>
        <w:spacing w:after="20"/>
      </w:pPr>
      <w:r>
        <w:rPr>
          <w:rFonts w:ascii="Arial" w:cs="Arial" w:eastAsia="Arial" w:hAnsi="Arial"/>
          <w:b/>
          <w:bCs/>
          <w:sz w:val="19"/>
          <w:szCs w:val="19"/>
        </w:rPr>
        <w:t xml:space="preserve">Financial distress costs</w:t>
      </w:r>
    </w:p>
    <w:p>
      <w:pPr>
        <w:spacing w:after="140"/>
      </w:pPr>
      <w:r>
        <w:t xml:space="preserve">The direct and indirect costs incurred by a company when it experiences difficulty meeting its financial obligations, potentially leading to bankruptcy.</w:t>
      </w:r>
    </w:p>
    <w:p>
      <w:pPr>
        <w:spacing w:after="20"/>
      </w:pPr>
      <w:r>
        <w:rPr>
          <w:rFonts w:ascii="Arial" w:cs="Arial" w:eastAsia="Arial" w:hAnsi="Arial"/>
          <w:b/>
          <w:bCs/>
          <w:sz w:val="19"/>
          <w:szCs w:val="19"/>
        </w:rPr>
        <w:t xml:space="preserve">Free cash flow to equity (fcfe)</w:t>
      </w:r>
    </w:p>
    <w:p>
      <w:pPr>
        <w:spacing w:after="140"/>
      </w:pPr>
      <w:r>
        <w:t xml:space="preserve">The cash flow available to the firm's equity holders after all operating expenses, taxes, reinvestment needs, and debt obligations have been satisfied.</w:t>
      </w:r>
    </w:p>
    <w:p>
      <w:pPr>
        <w:spacing w:after="20"/>
      </w:pPr>
      <w:r>
        <w:rPr>
          <w:rFonts w:ascii="Arial" w:cs="Arial" w:eastAsia="Arial" w:hAnsi="Arial"/>
          <w:b/>
          <w:bCs/>
          <w:sz w:val="19"/>
          <w:szCs w:val="19"/>
        </w:rPr>
        <w:t xml:space="preserve">Free cash flow to firm (fcff)</w:t>
      </w:r>
    </w:p>
    <w:p>
      <w:pPr>
        <w:spacing w:after="140"/>
      </w:pPr>
      <w:r>
        <w:t xml:space="preserve">The cash flow available to all capital providers (both debt and equity holders) after all operating expenses, taxes, and reinvestment needs have been satisfied.</w:t>
      </w:r>
    </w:p>
    <w:p>
      <w:pPr>
        <w:spacing w:after="20"/>
      </w:pPr>
      <w:r>
        <w:rPr>
          <w:rFonts w:ascii="Arial" w:cs="Arial" w:eastAsia="Arial" w:hAnsi="Arial"/>
          <w:b/>
          <w:bCs/>
          <w:sz w:val="19"/>
          <w:szCs w:val="19"/>
        </w:rPr>
        <w:t xml:space="preserve">Gordon growth model</w:t>
      </w:r>
    </w:p>
    <w:p>
      <w:pPr>
        <w:spacing w:after="140"/>
      </w:pPr>
      <w:r>
        <w:t xml:space="preserve">A formula used to calculate terminal value, assuming that cash flows grow at a constant rate indefinitely.</w:t>
      </w:r>
    </w:p>
    <w:p>
      <w:pPr>
        <w:spacing w:after="20"/>
      </w:pPr>
      <w:r>
        <w:rPr>
          <w:rFonts w:ascii="Arial" w:cs="Arial" w:eastAsia="Arial" w:hAnsi="Arial"/>
          <w:b/>
          <w:bCs/>
          <w:sz w:val="19"/>
          <w:szCs w:val="19"/>
        </w:rPr>
        <w:t xml:space="preserve">Incremental cash flow</w:t>
      </w:r>
    </w:p>
    <w:p>
      <w:pPr>
        <w:spacing w:after="140"/>
      </w:pPr>
      <w:r>
        <w:t xml:space="preserve">The additional cash flow that a company generates or loses as a direct result of undertaking a specific project or decision.</w:t>
      </w:r>
    </w:p>
    <w:p>
      <w:pPr>
        <w:spacing w:after="20"/>
      </w:pPr>
      <w:r>
        <w:rPr>
          <w:rFonts w:ascii="Arial" w:cs="Arial" w:eastAsia="Arial" w:hAnsi="Arial"/>
          <w:b/>
          <w:bCs/>
          <w:sz w:val="19"/>
          <w:szCs w:val="19"/>
        </w:rPr>
        <w:t xml:space="preserve">Intrinsic valuation</w:t>
      </w:r>
    </w:p>
    <w:p>
      <w:pPr>
        <w:spacing w:after="140"/>
      </w:pPr>
      <w:r>
        <w:t xml:space="preserve">The process of estimating the true value of an asset based on its inherent characteristics and expected future cash flows, rather than its market price.</w:t>
      </w:r>
    </w:p>
    <w:p>
      <w:pPr>
        <w:spacing w:after="20"/>
      </w:pPr>
      <w:r>
        <w:rPr>
          <w:rFonts w:ascii="Arial" w:cs="Arial" w:eastAsia="Arial" w:hAnsi="Arial"/>
          <w:b/>
          <w:bCs/>
          <w:sz w:val="19"/>
          <w:szCs w:val="19"/>
        </w:rPr>
        <w:t xml:space="preserve">Net present value (npv)</w:t>
      </w:r>
    </w:p>
    <w:p>
      <w:pPr>
        <w:spacing w:after="140"/>
      </w:pPr>
      <w:r>
        <w:t xml:space="preserve">The difference between the present value of cash inflows and the present value of cash outflows over a period of time. A positive NPV indicates a project is expected to be profitable.</w:t>
      </w:r>
    </w:p>
    <w:p>
      <w:pPr>
        <w:spacing w:after="20"/>
      </w:pPr>
      <w:r>
        <w:rPr>
          <w:rFonts w:ascii="Arial" w:cs="Arial" w:eastAsia="Arial" w:hAnsi="Arial"/>
          <w:b/>
          <w:bCs/>
          <w:sz w:val="19"/>
          <w:szCs w:val="19"/>
        </w:rPr>
        <w:t xml:space="preserve">Pecking order theory</w:t>
      </w:r>
    </w:p>
    <w:p>
      <w:pPr>
        <w:spacing w:after="140"/>
      </w:pPr>
      <w:r>
        <w:t xml:space="preserve">A theory suggesting that companies prefer to finance new investments first with internal funds, then with debt, and finally with new equity.</w:t>
      </w:r>
    </w:p>
    <w:p>
      <w:pPr>
        <w:spacing w:after="20"/>
      </w:pPr>
      <w:r>
        <w:rPr>
          <w:rFonts w:ascii="Arial" w:cs="Arial" w:eastAsia="Arial" w:hAnsi="Arial"/>
          <w:b/>
          <w:bCs/>
          <w:sz w:val="19"/>
          <w:szCs w:val="19"/>
        </w:rPr>
        <w:t xml:space="preserve">Relative valuation</w:t>
      </w:r>
    </w:p>
    <w:p>
      <w:pPr>
        <w:spacing w:after="140"/>
      </w:pPr>
      <w:r>
        <w:t xml:space="preserve">A valuation method that estimates an asset's value by comparing it to the market prices of similar assets using valuation multiples.</w:t>
      </w:r>
    </w:p>
    <w:p>
      <w:pPr>
        <w:spacing w:after="20"/>
      </w:pPr>
      <w:r>
        <w:rPr>
          <w:rFonts w:ascii="Arial" w:cs="Arial" w:eastAsia="Arial" w:hAnsi="Arial"/>
          <w:b/>
          <w:bCs/>
          <w:sz w:val="19"/>
          <w:szCs w:val="19"/>
        </w:rPr>
        <w:t xml:space="preserve">Risk-free rate</w:t>
      </w:r>
    </w:p>
    <w:p>
      <w:pPr>
        <w:spacing w:after="140"/>
      </w:pPr>
      <w:r>
        <w:t xml:space="preserve">The theoretical rate of return of an investment with zero risk, often approximated by the yield on long-term government bonds.</w:t>
      </w:r>
    </w:p>
    <w:p>
      <w:pPr>
        <w:spacing w:after="20"/>
      </w:pPr>
      <w:r>
        <w:rPr>
          <w:rFonts w:ascii="Arial" w:cs="Arial" w:eastAsia="Arial" w:hAnsi="Arial"/>
          <w:b/>
          <w:bCs/>
          <w:sz w:val="19"/>
          <w:szCs w:val="19"/>
        </w:rPr>
        <w:t xml:space="preserve">Share repurchase</w:t>
      </w:r>
    </w:p>
    <w:p>
      <w:pPr>
        <w:spacing w:after="140"/>
      </w:pPr>
      <w:r>
        <w:t xml:space="preserve">A program by which a company buys back its own shares from the marketplace, reducing the number of outstanding shares and often increasing earnings per share.</w:t>
      </w:r>
    </w:p>
    <w:p>
      <w:pPr>
        <w:spacing w:after="20"/>
      </w:pPr>
      <w:r>
        <w:rPr>
          <w:rFonts w:ascii="Arial" w:cs="Arial" w:eastAsia="Arial" w:hAnsi="Arial"/>
          <w:b/>
          <w:bCs/>
          <w:sz w:val="19"/>
          <w:szCs w:val="19"/>
        </w:rPr>
        <w:t xml:space="preserve">Shareholder wealth maximization</w:t>
      </w:r>
    </w:p>
    <w:p>
      <w:pPr>
        <w:spacing w:after="140"/>
      </w:pPr>
      <w:r>
        <w:t xml:space="preserve">The primary objective of a firm, aiming to increase the market value of the company's common stock.</w:t>
      </w:r>
    </w:p>
    <w:p>
      <w:pPr>
        <w:spacing w:after="20"/>
      </w:pPr>
      <w:r>
        <w:rPr>
          <w:rFonts w:ascii="Arial" w:cs="Arial" w:eastAsia="Arial" w:hAnsi="Arial"/>
          <w:b/>
          <w:bCs/>
          <w:sz w:val="19"/>
          <w:szCs w:val="19"/>
        </w:rPr>
        <w:t xml:space="preserve">Systematic risk (market risk)</w:t>
      </w:r>
    </w:p>
    <w:p>
      <w:pPr>
        <w:spacing w:after="140"/>
      </w:pPr>
      <w:r>
        <w:t xml:space="preserve">The portion of an asset's risk that is attributable to market-wide factors and cannot be eliminated through diversification.</w:t>
      </w:r>
    </w:p>
    <w:p>
      <w:pPr>
        <w:spacing w:after="20"/>
      </w:pPr>
      <w:r>
        <w:rPr>
          <w:rFonts w:ascii="Arial" w:cs="Arial" w:eastAsia="Arial" w:hAnsi="Arial"/>
          <w:b/>
          <w:bCs/>
          <w:sz w:val="19"/>
          <w:szCs w:val="19"/>
        </w:rPr>
        <w:t xml:space="preserve">Tax shield</w:t>
      </w:r>
    </w:p>
    <w:p>
      <w:pPr>
        <w:spacing w:after="140"/>
      </w:pPr>
      <w:r>
        <w:t xml:space="preserve">The reduction in tax payments that results from the tax deductibility of interest expenses on debt.</w:t>
      </w:r>
    </w:p>
    <w:p>
      <w:pPr>
        <w:spacing w:after="20"/>
      </w:pPr>
      <w:r>
        <w:rPr>
          <w:rFonts w:ascii="Arial" w:cs="Arial" w:eastAsia="Arial" w:hAnsi="Arial"/>
          <w:b/>
          <w:bCs/>
          <w:sz w:val="19"/>
          <w:szCs w:val="19"/>
        </w:rPr>
        <w:t xml:space="preserve">Terminal value</w:t>
      </w:r>
    </w:p>
    <w:p>
      <w:pPr>
        <w:spacing w:after="140"/>
      </w:pPr>
      <w:r>
        <w:t xml:space="preserve">The estimated value of a business or asset at the end of the explicit forecast period in a discounted cash flow model, representing all cash flows beyond that period.</w:t>
      </w:r>
    </w:p>
    <w:p>
      <w:pPr>
        <w:spacing w:after="20"/>
      </w:pPr>
      <w:r>
        <w:rPr>
          <w:rFonts w:ascii="Arial" w:cs="Arial" w:eastAsia="Arial" w:hAnsi="Arial"/>
          <w:b/>
          <w:bCs/>
          <w:sz w:val="19"/>
          <w:szCs w:val="19"/>
        </w:rPr>
        <w:t xml:space="preserve">Unlevered beta</w:t>
      </w:r>
    </w:p>
    <w:p>
      <w:pPr>
        <w:spacing w:after="140"/>
      </w:pPr>
      <w:r>
        <w:t xml:space="preserve">The beta of a company's assets, reflecting its business risk without the influence of financial use (debt).</w:t>
      </w:r>
    </w:p>
    <w:p>
      <w:pPr>
        <w:spacing w:after="20"/>
      </w:pPr>
      <w:r>
        <w:rPr>
          <w:rFonts w:ascii="Arial" w:cs="Arial" w:eastAsia="Arial" w:hAnsi="Arial"/>
          <w:b/>
          <w:bCs/>
          <w:sz w:val="19"/>
          <w:szCs w:val="19"/>
        </w:rPr>
        <w:t xml:space="preserve">Weighted average cost of capital (wacc)</w:t>
      </w:r>
    </w:p>
    <w:p>
      <w:pPr>
        <w:spacing w:after="140"/>
      </w:pPr>
      <w:r>
        <w:t xml:space="preserve">The average rate of return a company expects to pay to all its security holders (debt and equity) to finance its assets, weighted by the market value of each component.</w:t>
      </w:r>
    </w:p>
    <w:p>
      <w:pPr>
        <w:pStyle w:val="Heading1"/>
        <w:pageBreakBefore/>
      </w:pPr>
      <w:r>
        <w:t xml:space="preserve">Answer Key</w:t>
      </w:r>
    </w:p>
    <w:p>
      <w:pPr>
        <w:pStyle w:val="Heading3"/>
      </w:pPr>
      <w:r>
        <w:t xml:space="preserve">Chapter 1: Foundations of Corporate Finance</w:t>
      </w:r>
    </w:p>
    <w:p>
      <w:pPr>
        <w:spacing w:after="20"/>
      </w:pPr>
      <w:r>
        <w:rPr>
          <w:b/>
          <w:bCs/>
        </w:rPr>
        <w:t xml:space="preserve">1. </w:t>
      </w:r>
      <w:r>
        <w:rPr>
          <w:b/>
          <w:bCs/>
        </w:rPr>
        <w:t xml:space="preserve">What is the primary objective of a firm in corporate finance, and why is it preferred over other objectives like maximizing market share?</w:t>
      </w:r>
    </w:p>
    <w:p>
      <w:pPr>
        <w:spacing w:after="140"/>
      </w:pPr>
      <w:r>
        <w:t xml:space="preserve">The primary objective is to maximize shareholder wealth. This goal is preferred because it is measurable, consistent, and encourages efficient resource allocation. Other objectives can be ambiguous or lead to short-sighted decisions that do not create long-term value for the firm's owners.</w:t>
      </w:r>
    </w:p>
    <w:p>
      <w:pPr>
        <w:spacing w:after="20"/>
      </w:pPr>
      <w:r>
        <w:rPr>
          <w:b/>
          <w:bCs/>
        </w:rPr>
        <w:t xml:space="preserve">2. </w:t>
      </w:r>
      <w:r>
        <w:rPr>
          <w:b/>
          <w:bCs/>
        </w:rPr>
        <w:t xml:space="preserve">Explain the agency problem in the context of corporate finance and provide an example.</w:t>
      </w:r>
    </w:p>
    <w:p>
      <w:pPr>
        <w:spacing w:after="140"/>
      </w:pPr>
      <w:r>
        <w:t xml:space="preserve">The agency problem occurs when managers, acting as agents for shareholders, may make decisions that serve their own interests rather than maximizing shareholder wealth. An example is a CEO pursuing a risky acquisition that boosts their personal prestige but has a low probability of increasing company value, potentially harming shareholders.</w:t>
      </w:r>
    </w:p>
    <w:p>
      <w:pPr>
        <w:spacing w:after="20"/>
      </w:pPr>
      <w:r>
        <w:rPr>
          <w:b/>
          <w:bCs/>
        </w:rPr>
        <w:t xml:space="preserve">3. </w:t>
      </w:r>
      <w:r>
        <w:rPr>
          <w:b/>
          <w:bCs/>
        </w:rPr>
        <w:t xml:space="preserve">How do financial markets and corporate governance mechanisms help mitigate agency problems?</w:t>
      </w:r>
    </w:p>
    <w:p>
      <w:pPr>
        <w:spacing w:after="140"/>
      </w:pPr>
      <w:r>
        <w:t xml:space="preserve">Financial markets, through stock price movements and the threat of hostile takeovers, discipline underperforming management. Corporate governance mechanisms, such as independent boards of directors and performance-based compensation (e.g., stock options), align managers' incentives with those of shareholders.</w:t>
      </w:r>
    </w:p>
    <w:p>
      <w:pPr>
        <w:spacing w:after="20"/>
      </w:pPr>
      <w:r>
        <w:rPr>
          <w:b/>
          <w:bCs/>
        </w:rPr>
        <w:t xml:space="preserve">4. </w:t>
      </w:r>
      <w:r>
        <w:rPr>
          <w:b/>
          <w:bCs/>
        </w:rPr>
        <w:t xml:space="preserve">What is the risk-free rate, and what characteristics must an asset possess to be considered truly risk-free?</w:t>
      </w:r>
    </w:p>
    <w:p>
      <w:pPr>
        <w:spacing w:after="140"/>
      </w:pPr>
      <w:r>
        <w:t xml:space="preserve">The risk-free rate is the return on an investment with no risk. A truly risk-free asset must have no default risk, meaning the issuer will not fail to pay, and no reinvestment risk, meaning the interest rate for reinvesting interim cash flows is known with certainty. Long-term government bonds are often used as a proxy.</w:t>
      </w:r>
    </w:p>
    <w:p>
      <w:pPr>
        <w:spacing w:after="20"/>
      </w:pPr>
      <w:r>
        <w:rPr>
          <w:b/>
          <w:bCs/>
        </w:rPr>
        <w:t xml:space="preserve">5. </w:t>
      </w:r>
      <w:r>
        <w:rPr>
          <w:b/>
          <w:bCs/>
        </w:rPr>
        <w:t xml:space="preserve">Define the equity risk premium and explain its significance in investment decisions.</w:t>
      </w:r>
    </w:p>
    <w:p>
      <w:pPr>
        <w:spacing w:after="140"/>
      </w:pPr>
      <w:r>
        <w:t xml:space="preserve">The equity risk premium (ERP) is the extra return investors demand for investing in the stock market over a risk-free asset. It is significant because it represents the compensation for bearing systematic risk. Investors use the ERP to determine the required return on equity investments, influencing valuation and capital budgeting decisions.</w:t>
      </w:r>
    </w:p>
    <w:p>
      <w:pPr>
        <w:pStyle w:val="Heading3"/>
      </w:pPr>
      <w:r>
        <w:t xml:space="preserve">Chapter 2: Estimating the Cost of Capital and Evaluating Investments</w:t>
      </w:r>
    </w:p>
    <w:p>
      <w:pPr>
        <w:spacing w:after="20"/>
      </w:pPr>
      <w:r>
        <w:rPr>
          <w:b/>
          <w:bCs/>
        </w:rPr>
        <w:t xml:space="preserve">1. </w:t>
      </w:r>
      <w:r>
        <w:rPr>
          <w:b/>
          <w:bCs/>
        </w:rPr>
        <w:t xml:space="preserve">Why is bottom-up beta estimation often preferred over historical regression beta, especially for private companies or divisions?</w:t>
      </w:r>
    </w:p>
    <w:p>
      <w:pPr>
        <w:spacing w:after="140"/>
      </w:pPr>
      <w:r>
        <w:t xml:space="preserve">Bottom-up beta is preferred because it is generally more stable and less affected by statistical noise from historical data. It allows for the estimation of beta for private companies or specific divisions by using comparable public company data, adjusting for their specific financial use. This method provides a more forward-looking and accurate reflection of business risk.</w:t>
      </w:r>
    </w:p>
    <w:p>
      <w:pPr>
        <w:spacing w:after="20"/>
      </w:pPr>
      <w:r>
        <w:rPr>
          <w:b/>
          <w:bCs/>
        </w:rPr>
        <w:t xml:space="preserve">2. </w:t>
      </w:r>
      <w:r>
        <w:rPr>
          <w:b/>
          <w:bCs/>
        </w:rPr>
        <w:t xml:space="preserve">Explain the difference between the coupon rate and the yield to maturity (YTM) for a bond, and state which one should be used to estimate the pre-tax cost of debt.</w:t>
      </w:r>
    </w:p>
    <w:p>
      <w:pPr>
        <w:spacing w:after="140"/>
      </w:pPr>
      <w:r>
        <w:t xml:space="preserve">The coupon rate is the fixed annual interest payment expressed as a percentage of the bond's face value. The yield to maturity (YTM) is the total return an investor expects to receive if they hold the bond until maturity, taking into account its current market price, par value, coupon interest rate, and time to maturity. The YTM should be used to estimate the pre-tax cost of debt because it reflects the current market rate for the company's debt, which is what new debt would cost.</w:t>
      </w:r>
    </w:p>
    <w:p>
      <w:pPr>
        <w:spacing w:after="20"/>
      </w:pPr>
      <w:r>
        <w:rPr>
          <w:b/>
          <w:bCs/>
        </w:rPr>
        <w:t xml:space="preserve">3. </w:t>
      </w:r>
      <w:r>
        <w:rPr>
          <w:b/>
          <w:bCs/>
        </w:rPr>
        <w:t xml:space="preserve">When calculating the Weighted Average Cost of Capital (WACC), why is it important to use market values for debt and equity, rather than book values?</w:t>
      </w:r>
    </w:p>
    <w:p>
      <w:pPr>
        <w:spacing w:after="140"/>
      </w:pPr>
      <w:r>
        <w:t xml:space="preserve">It is important to use market values for debt and equity when calculating WACC because these values reflect the current economic worth and the actual cost of financing that investors demand today. Book values are historical accounting figures that may not accurately represent the current capital structure or the true proportions of debt and equity financing from an investor's perspective.</w:t>
      </w:r>
    </w:p>
    <w:p>
      <w:pPr>
        <w:spacing w:after="20"/>
      </w:pPr>
      <w:r>
        <w:rPr>
          <w:b/>
          <w:bCs/>
        </w:rPr>
        <w:t xml:space="preserve">4. </w:t>
      </w:r>
      <w:r>
        <w:rPr>
          <w:b/>
          <w:bCs/>
        </w:rPr>
        <w:t xml:space="preserve">What are incremental cash flows, and why are they crucial for sound investment decision-making?</w:t>
      </w:r>
    </w:p>
    <w:p>
      <w:pPr>
        <w:spacing w:after="140"/>
      </w:pPr>
      <w:r>
        <w:t xml:space="preserve">Incremental cash flows are the additional cash inflows or outflows that occur solely because a specific project is undertaken. They are crucial because only these cash flows are relevant to the investment decision. Including non-incremental cash flows, such as sunk costs, or omitting relevant incremental cash flows, such as opportunity costs or side effects, will lead to an inaccurate assessment of a project's true value.</w:t>
      </w:r>
    </w:p>
    <w:p>
      <w:pPr>
        <w:spacing w:after="20"/>
      </w:pPr>
      <w:r>
        <w:rPr>
          <w:b/>
          <w:bCs/>
        </w:rPr>
        <w:t xml:space="preserve">5. </w:t>
      </w:r>
      <w:r>
        <w:rPr>
          <w:b/>
          <w:bCs/>
        </w:rPr>
        <w:t xml:space="preserve">A new product launch is expected to increase a company's overall sales, but it will also reduce sales of an existing product line. How should these effects be handled in the new product's cash flow analysis?</w:t>
      </w:r>
    </w:p>
    <w:p>
      <w:pPr>
        <w:spacing w:after="140"/>
      </w:pPr>
      <w:r>
        <w:t xml:space="preserve">The increased sales from the new product should be included as a positive incremental cash flow. The reduction in sales of the existing product line, known as cannibalization, represents a lost cash flow that would have occurred without the new project. This lost cash flow must be treated as a negative incremental cash flow, or a cost, of the new product launch to accurately reflect its net impact on the company.</w:t>
      </w:r>
    </w:p>
    <w:p>
      <w:pPr>
        <w:pStyle w:val="Heading3"/>
      </w:pPr>
      <w:r>
        <w:t xml:space="preserve">Chapter 3: Financing Decisions and Capital Structure</w:t>
      </w:r>
    </w:p>
    <w:p>
      <w:pPr>
        <w:spacing w:after="20"/>
      </w:pPr>
      <w:r>
        <w:rPr>
          <w:b/>
          <w:bCs/>
        </w:rPr>
        <w:t xml:space="preserve">1. </w:t>
      </w:r>
      <w:r>
        <w:rPr>
          <w:b/>
          <w:bCs/>
        </w:rPr>
        <w:t xml:space="preserve">Explain the primary trade-off a company faces when deciding on its capital structure.</w:t>
      </w:r>
    </w:p>
    <w:p>
      <w:pPr>
        <w:spacing w:after="140"/>
      </w:pPr>
      <w:r>
        <w:t xml:space="preserve">The primary trade-off involves balancing the benefits of debt, primarily the tax shield on interest payments, against the costs of debt. These costs include the increased risk of financial distress, which can lead to higher borrowing rates, higher required returns for equity, and indirect costs like lost sales or damaged reputation.</w:t>
      </w:r>
    </w:p>
    <w:p>
      <w:pPr>
        <w:spacing w:after="20"/>
      </w:pPr>
      <w:r>
        <w:rPr>
          <w:b/>
          <w:bCs/>
        </w:rPr>
        <w:t xml:space="preserve">2. </w:t>
      </w:r>
      <w:r>
        <w:rPr>
          <w:b/>
          <w:bCs/>
        </w:rPr>
        <w:t xml:space="preserve">How does the Cost of Capital Approach help a company determine its optimal capital structure?</w:t>
      </w:r>
    </w:p>
    <w:p>
      <w:pPr>
        <w:spacing w:after="140"/>
      </w:pPr>
      <w:r>
        <w:t xml:space="preserve">The Cost of Capital Approach involves calculating the Weighted Average Cost of Capital (WACC) at various debt-to-equity ratios. The optimal capital structure is the one that results in the lowest WACC. This is because minimizing the cost of capital maximizes the present value of the company's future cash flows, thereby maximizing firm value.</w:t>
      </w:r>
    </w:p>
    <w:p>
      <w:pPr>
        <w:spacing w:after="20"/>
      </w:pPr>
      <w:r>
        <w:rPr>
          <w:b/>
          <w:bCs/>
        </w:rPr>
        <w:t xml:space="preserve">3. </w:t>
      </w:r>
      <w:r>
        <w:rPr>
          <w:b/>
          <w:bCs/>
        </w:rPr>
        <w:t xml:space="preserve">List and briefly describe three key features of debt design.</w:t>
      </w:r>
    </w:p>
    <w:p>
      <w:pPr>
        <w:spacing w:after="140"/>
      </w:pPr>
      <w:r>
        <w:t xml:space="preserve">Three key features of debt design are maturity, interest type, and covenants. Maturity refers to the debt's repayment period. Interest type can be fixed or floating, determining payment stability. Covenants are contractual clauses that impose restrictions or requirements on the borrower to protect lenders.</w:t>
      </w:r>
    </w:p>
    <w:p>
      <w:pPr>
        <w:spacing w:after="20"/>
      </w:pPr>
      <w:r>
        <w:rPr>
          <w:b/>
          <w:bCs/>
        </w:rPr>
        <w:t xml:space="preserve">4. </w:t>
      </w:r>
      <w:r>
        <w:rPr>
          <w:b/>
          <w:bCs/>
        </w:rPr>
        <w:t xml:space="preserve">According to the Miller-Modigliani Dividend Irrelevance Hypothesis (without taxes), why does dividend policy not affect firm value?</w:t>
      </w:r>
    </w:p>
    <w:p>
      <w:pPr>
        <w:spacing w:after="140"/>
      </w:pPr>
      <w:r>
        <w:t xml:space="preserve">The hypothesis states that in a perfect capital market, investors can create their own desired cash flow by either selling shares (homemade dividends) or reinvesting dividends. Therefore, the total value of the firm is determined by its investment policy and earning power, not by how it distributes cash to shareholders.</w:t>
      </w:r>
    </w:p>
    <w:p>
      <w:pPr>
        <w:spacing w:after="20"/>
      </w:pPr>
      <w:r>
        <w:rPr>
          <w:b/>
          <w:bCs/>
        </w:rPr>
        <w:t xml:space="preserve">5. </w:t>
      </w:r>
      <w:r>
        <w:rPr>
          <w:b/>
          <w:bCs/>
        </w:rPr>
        <w:t xml:space="preserve">Why might a company choose to repurchase shares instead of paying cash dividends?</w:t>
      </w:r>
    </w:p>
    <w:p>
      <w:pPr>
        <w:spacing w:after="140"/>
      </w:pPr>
      <w:r>
        <w:t xml:space="preserve">Companies might prefer share repurchases due to tax efficiency for investors, as capital gains are often taxed at a lower rate or deferred until sale. Repurchases also offer greater flexibility to management, as they are not seen as a permanent commitment like regular dividends. They can also signal management's belief that the stock is undervalued.</w:t>
      </w:r>
    </w:p>
    <w:p>
      <w:pPr>
        <w:pStyle w:val="Heading3"/>
      </w:pPr>
      <w:r>
        <w:t xml:space="preserve">Chapter 4: Valuation Principles and Practice</w:t>
      </w:r>
    </w:p>
    <w:p>
      <w:pPr>
        <w:spacing w:after="20"/>
      </w:pPr>
      <w:r>
        <w:rPr>
          <w:b/>
          <w:bCs/>
        </w:rPr>
        <w:t xml:space="preserve">1. </w:t>
      </w:r>
      <w:r>
        <w:rPr>
          <w:b/>
          <w:bCs/>
        </w:rPr>
        <w:t xml:space="preserve">What is the fundamental principle of intrinsic valuation, and why is it important to distinguish between FCFE and FCFF?</w:t>
      </w:r>
    </w:p>
    <w:p>
      <w:pPr>
        <w:spacing w:after="140"/>
      </w:pPr>
      <w:r>
        <w:t xml:space="preserve">The fundamental principle of intrinsic valuation is that an asset's value is the present value of its expected future cash flows. It is important to distinguish between FCFE and FCFF because FCFE represents cash flow available only to equity holders, discounted by the Cost of Equity, while FCFF represents cash flow available to all capital providers, discounted by the WACC. Using the correct cash flow and discount rate ensures consistency and accuracy in the valuation.</w:t>
      </w:r>
    </w:p>
    <w:p>
      <w:pPr>
        <w:spacing w:after="20"/>
      </w:pPr>
      <w:r>
        <w:rPr>
          <w:b/>
          <w:bCs/>
        </w:rPr>
        <w:t xml:space="preserve">2. </w:t>
      </w:r>
      <w:r>
        <w:rPr>
          <w:b/>
          <w:bCs/>
        </w:rPr>
        <w:t xml:space="preserve">Explain the two main components of a Discounted Cash Flow (DCF) model and how they are calculated.</w:t>
      </w:r>
    </w:p>
    <w:p>
      <w:pPr>
        <w:spacing w:after="140"/>
      </w:pPr>
      <w:r>
        <w:t xml:space="preserve">A DCF model consists of two main components: the explicit forecast period and the terminal value. The explicit forecast period involves projecting detailed cash flows (FCFE or FCFF) for a specific number of years, typically 5 to 10. The terminal value captures the value of all cash flows beyond this explicit period, most commonly calculated using the Gordon Growth Model, which assumes a constant growth rate into perpetuity.</w:t>
      </w:r>
    </w:p>
    <w:p>
      <w:pPr>
        <w:spacing w:after="20"/>
      </w:pPr>
      <w:r>
        <w:rPr>
          <w:b/>
          <w:bCs/>
        </w:rPr>
        <w:t xml:space="preserve">3. </w:t>
      </w:r>
      <w:r>
        <w:rPr>
          <w:b/>
          <w:bCs/>
        </w:rPr>
        <w:t xml:space="preserve">Why is consistency crucial when choosing between FCFE and FCFF models, and what are the corresponding discount rates?</w:t>
      </w:r>
    </w:p>
    <w:p>
      <w:pPr>
        <w:spacing w:after="140"/>
      </w:pPr>
      <w:r>
        <w:t xml:space="preserve">Consistency is crucial to avoid misstating a company's value. If you use FCFE, you are valuing only the equity, so you must discount it using the Cost of Equity. If you use FCFF, you are valuing the entire firm (enterprise value), so you must discount it using the Weighted Average Cost of Capital (WACC). Mixing these approaches will lead to incorrect valuation results.</w:t>
      </w:r>
    </w:p>
    <w:p>
      <w:pPr>
        <w:spacing w:after="20"/>
      </w:pPr>
      <w:r>
        <w:rPr>
          <w:b/>
          <w:bCs/>
        </w:rPr>
        <w:t xml:space="preserve">4. </w:t>
      </w:r>
      <w:r>
        <w:rPr>
          <w:b/>
          <w:bCs/>
        </w:rPr>
        <w:t xml:space="preserve">Describe a common pitfall in valuation and how sensitivity analysis can help mitigate it.</w:t>
      </w:r>
    </w:p>
    <w:p>
      <w:pPr>
        <w:spacing w:after="140"/>
      </w:pPr>
      <w:r>
        <w:t xml:space="preserve">A common pitfall in valuation is over-optimism in projecting future growth rates or operating margins, leading to inflated valuations. Sensitivity analysis helps mitigate this by allowing analysts to test how changes in key assumptions, such as growth rates, discount rates, or terminal growth rates, impact the final valuation. This provides a range of possible values and helps quantify the uncertainty inherent in the valuation process.</w:t>
      </w:r>
    </w:p>
    <w:p>
      <w:pPr>
        <w:spacing w:after="20"/>
      </w:pPr>
      <w:r>
        <w:rPr>
          <w:b/>
          <w:bCs/>
        </w:rPr>
        <w:t xml:space="preserve">5. </w:t>
      </w:r>
      <w:r>
        <w:rPr>
          <w:b/>
          <w:bCs/>
        </w:rPr>
        <w:t xml:space="preserve">How does relative valuation differ from intrinsic valuation, and when might it be particularly useful?</w:t>
      </w:r>
    </w:p>
    <w:p>
      <w:pPr>
        <w:spacing w:after="140"/>
      </w:pPr>
      <w:r>
        <w:t xml:space="preserve">Intrinsic valuation estimates an asset's value based on its fundamental cash flows and risk, whereas relative valuation estimates value by comparing it to similar assets using market multiples. Relative valuation is particularly useful as a quick sanity check for intrinsic valuation results, or when valuing companies in industries with many comparable firms and a relatively efficient market for those firms.</w:t>
      </w:r>
    </w:p>
    <w:p>
      <w:pPr>
        <w:pStyle w:val="Heading1"/>
        <w:pageBreakBefore/>
      </w:pPr>
      <w:r>
        <w:t xml:space="preserve">Where to Go Next</w:t>
      </w:r>
    </w:p>
    <w:p>
      <w:pPr>
        <w:spacing w:after="140"/>
      </w:pPr>
      <w:r>
        <w:t xml:space="preserve">After completing this course, apply the principles you have learned. Analyze real company financial statements. Evaluate investment opportunities using the frameworks discussed. Practical application solidifies your understanding and builds confidence.</w:t>
      </w:r>
    </w:p>
    <w:p>
      <w:pPr>
        <w:spacing w:after="140"/>
      </w:pPr>
      <w:r>
        <w:t xml:space="preserve">Consider exploring advanced topics in finance. These include valuation, mergers and acquisitions, or financial modeling. Each area builds upon the foundational knowledge gained here, offering deeper specialization.</w:t>
      </w:r>
    </w:p>
    <w:p>
      <w:pPr>
        <w:spacing w:after="140"/>
      </w:pPr>
      <w:r>
        <w:t xml:space="preserve">Continue to read financial news and academic papers. Stay current with market trends and economic developments. This ongoing engagement will sharpen your financial acumen and keep your skills relevant.</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megacourse.app/courses/corporate-finance</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CORPORATE FINANCE</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Corporate Finance - Study Guide</dc:title>
  <dc:creator>MegaCourse</dc:creator>
  <dc:description>Official MegaCourse study guide for Corporate Finance</dc:description>
  <cp:lastModifiedBy>Un-named</cp:lastModifiedBy>
  <cp:revision>1</cp:revision>
  <dcterms:created xsi:type="dcterms:W3CDTF">2026-07-14T11:11:32.307Z</dcterms:created>
  <dcterms:modified xsi:type="dcterms:W3CDTF">2026-07-14T11:11:32.307Z</dcterms:modified>
</cp:coreProperties>
</file>

<file path=docProps/custom.xml><?xml version="1.0" encoding="utf-8"?>
<Properties xmlns="http://schemas.openxmlformats.org/officeDocument/2006/custom-properties" xmlns:vt="http://schemas.openxmlformats.org/officeDocument/2006/docPropsVTypes"/>
</file>