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Medication Basics for Aides &amp; Caregivers</w:t>
      </w:r>
    </w:p>
    <w:p>
      <w:pPr>
        <w:spacing w:after="900"/>
        <w:jc w:val="center"/>
      </w:pPr>
      <w:r>
        <w:rPr>
          <w:i/>
          <w:iCs/>
          <w:color w:val="333333"/>
          <w:sz w:val="25"/>
          <w:szCs w:val="25"/>
        </w:rPr>
        <w:t xml:space="preserve">Routes, rights, and red flags - understand the medications you help manage every day.</w:t>
      </w:r>
    </w:p>
    <w:p>
      <w:pPr>
        <w:spacing w:after="3200"/>
        <w:jc w:val="center"/>
      </w:pPr>
      <w:r>
        <w:rPr>
          <w:rFonts w:ascii="Arial" w:cs="Arial" w:eastAsia="Arial" w:hAnsi="Arial"/>
          <w:color w:val="444444"/>
          <w:spacing w:val="36"/>
          <w:sz w:val="17"/>
          <w:szCs w:val="17"/>
        </w:rPr>
        <w:t xml:space="preserve">Healthcare &amp; Caregiving   ·   Beginner   ·   7 Modules   ·   4 hr 17 min</w:t>
      </w:r>
    </w:p>
    <w:p>
      <w:pPr>
        <w:spacing w:after="160"/>
        <w:jc w:val="center"/>
      </w:pPr>
      <w:r>
        <w:rPr>
          <w:color w:val="333333"/>
          <w:sz w:val="19"/>
          <w:szCs w:val="19"/>
        </w:rPr>
        <w:t xml:space="preserve">Course by RegisteredNurseRN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Medication Basics for Aides &amp; Caregivers: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"Medication Basics for Aides &amp; Caregivers", taught by RegisteredNurseRN.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megacourse.app/courses/medication-basics-for-aides-and-caregivers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"Medication Basics for Aides &amp; Caregivers" provides essential knowledge for anyone assisting with medication management. You will learn about medication routes, safety rights, and crucial red flags. Understanding these topics is vital for patient safety and effective caregiving.</w:t>
      </w:r>
    </w:p>
    <w:p>
      <w:pPr>
        <w:spacing w:after="140"/>
      </w:pPr>
      <w:r>
        <w:t xml:space="preserve">This study guide supports a comprehensive online learning path. The course is structured into 7 modules and 34 lessons. RegisteredNurseRN teaches the core content. MegaCourse enhances the original video series by adding structured learning outcomes, extra resources, and a final assessment.</w:t>
      </w:r>
    </w:p>
    <w:p>
      <w:pPr>
        <w:spacing w:after="140"/>
      </w:pPr>
      <w:r>
        <w:t xml:space="preserve">This approach ensures you gain a thorough understanding of medication principles. You can track your progress and earn a shareable certificate of completion. This guide serves as your companion to reinforce key concepts from the video lessons.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34 lessons</w:t>
      </w:r>
    </w:p>
    <w:p>
      <w:pPr>
        <w:spacing w:after="60"/>
      </w:pPr>
      <w:r>
        <w:rPr>
          <w:rFonts w:ascii="Arial" w:cs="Arial" w:eastAsia="Arial" w:hAnsi="Arial"/>
          <w:b/>
          <w:bCs/>
          <w:sz w:val="18"/>
          <w:szCs w:val="18"/>
        </w:rPr>
        <w:t xml:space="preserve">Video instruction:  </w:t>
      </w:r>
      <w:r>
        <w:rPr>
          <w:sz w:val="20"/>
          <w:szCs w:val="20"/>
        </w:rPr>
        <w:t xml:space="preserve">About 4 hr 17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Healthcare &amp; Caregiving</w:t>
      </w:r>
    </w:p>
    <w:p>
      <w:pPr>
        <w:spacing w:after="60"/>
      </w:pPr>
      <w:r>
        <w:rPr>
          <w:rFonts w:ascii="Arial" w:cs="Arial" w:eastAsia="Arial" w:hAnsi="Arial"/>
          <w:b/>
          <w:bCs/>
          <w:sz w:val="18"/>
          <w:szCs w:val="18"/>
        </w:rPr>
        <w:t xml:space="preserve">Instructor:  </w:t>
      </w:r>
      <w:r>
        <w:rPr>
          <w:sz w:val="20"/>
          <w:szCs w:val="20"/>
        </w:rPr>
        <w:t xml:space="preserve">RegisteredNurseRN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megacourse.app/courses/medication-basics-for-aides-and-caregivers</w:t>
      </w:r>
    </w:p>
    <w:p>
      <w:pPr>
        <w:pStyle w:val="Heading2"/>
      </w:pPr>
      <w:r>
        <w:t xml:space="preserve">What You Will Learn</w:t>
      </w:r>
    </w:p>
    <w:p>
      <w:pPr>
        <w:pStyle w:val="ListParagraph"/>
        <w:numPr>
          <w:ilvl w:val="0"/>
          <w:numId w:val="1"/>
        </w:numPr>
        <w:spacing w:after="60"/>
      </w:pPr>
      <w:r>
        <w:t xml:space="preserve">Explain the rights of medication safety and why each one exists.</w:t>
      </w:r>
    </w:p>
    <w:p>
      <w:pPr>
        <w:pStyle w:val="ListParagraph"/>
        <w:numPr>
          <w:ilvl w:val="0"/>
          <w:numId w:val="1"/>
        </w:numPr>
        <w:spacing w:after="60"/>
      </w:pPr>
      <w:r>
        <w:t xml:space="preserve">Recognize common medication routes, forms, and timing rules.</w:t>
      </w:r>
    </w:p>
    <w:p>
      <w:pPr>
        <w:pStyle w:val="ListParagraph"/>
        <w:numPr>
          <w:ilvl w:val="0"/>
          <w:numId w:val="1"/>
        </w:numPr>
        <w:spacing w:after="60"/>
      </w:pPr>
      <w:r>
        <w:t xml:space="preserve">Spot side effects and interactions that need a nurse or pharmacist now.</w:t>
      </w:r>
    </w:p>
    <w:p>
      <w:pPr>
        <w:pStyle w:val="ListParagraph"/>
        <w:numPr>
          <w:ilvl w:val="0"/>
          <w:numId w:val="1"/>
        </w:numPr>
        <w:spacing w:after="60"/>
      </w:pPr>
      <w:r>
        <w:t xml:space="preserve">Support medication adherence within your legal scope of practice.</w:t>
      </w:r>
    </w:p>
    <w:p>
      <w:pPr>
        <w:pStyle w:val="Heading2"/>
      </w:pPr>
      <w:r>
        <w:t xml:space="preserve">Who This Course Is For</w:t>
      </w:r>
    </w:p>
    <w:p>
      <w:pPr>
        <w:spacing w:after="140"/>
      </w:pPr>
      <w:r>
        <w:t xml:space="preserve">This course is designed for aides and caregivers who help manage medications daily. It offers foundational knowledge to support safe practices in various care settings. If you assist individuals with their medications, this guide will strengthen your understanding and skills.</w:t>
      </w:r>
    </w:p>
    <w:p>
      <w:pPr>
        <w:spacing w:after="140"/>
      </w:pPr>
      <w:r>
        <w:t xml:space="preserve">While no strict prerequisites exist, a basic familiarity with medical terminology will be helpful. This course focuses on practical application for unlicensed aides. Always remember to follow your state's scope-of-practice regulations and your employer's specific policies.</w:t>
      </w:r>
    </w:p>
    <w:p>
      <w:pPr>
        <w:pStyle w:val="Heading2"/>
      </w:pPr>
      <w:r>
        <w:t xml:space="preserve">Before You Start</w:t>
      </w:r>
    </w:p>
    <w:p>
      <w:pPr>
        <w:pStyle w:val="ListParagraph"/>
        <w:numPr>
          <w:ilvl w:val="0"/>
          <w:numId w:val="1"/>
        </w:numPr>
        <w:spacing w:after="60"/>
      </w:pPr>
      <w:r>
        <w:t xml:space="preserve">Interest in healthcare and caregiving.</w:t>
      </w:r>
    </w:p>
    <w:p>
      <w:pPr>
        <w:pStyle w:val="ListParagraph"/>
        <w:numPr>
          <w:ilvl w:val="0"/>
          <w:numId w:val="1"/>
        </w:numPr>
        <w:spacing w:after="60"/>
      </w:pPr>
      <w:r>
        <w:t xml:space="preserve">Willingness to learn medication safety principles.</w:t>
      </w:r>
    </w:p>
    <w:p>
      <w:pPr>
        <w:pStyle w:val="ListParagraph"/>
        <w:numPr>
          <w:ilvl w:val="0"/>
          <w:numId w:val="1"/>
        </w:numPr>
        <w:spacing w:after="60"/>
      </w:pPr>
      <w:r>
        <w:t xml:space="preserve">Basic computer literacy for accessing online course materials.</w:t>
      </w:r>
    </w:p>
    <w:p>
      <w:pPr>
        <w:pStyle w:val="ListParagraph"/>
        <w:numPr>
          <w:ilvl w:val="0"/>
          <w:numId w:val="1"/>
        </w:numPr>
        <w:spacing w:after="60"/>
      </w:pPr>
      <w:r>
        <w:t xml:space="preserve">A foundational understanding of medical terminology is beneficial.</w:t>
      </w:r>
    </w:p>
    <w:p>
      <w:pPr>
        <w:pStyle w:val="Heading2"/>
      </w:pPr>
      <w:r>
        <w:t xml:space="preserve">How to Use This Guide</w:t>
      </w:r>
    </w:p>
    <w:p>
      <w:pPr>
        <w:spacing w:after="140"/>
      </w:pPr>
      <w:r>
        <w:t xml:space="preserve">This study guide is designed to complement the "Medication Basics for Aides &amp; Caregivers" online course. The course is divided into 7 modules, containing 34 lessons. Plan to spend about 4 hours and 17 minutes on the instructional videos alone. We recommend watching the video lessons first, then using this guide to review and solidify your understanding.</w:t>
      </w:r>
    </w:p>
    <w:p>
      <w:pPr>
        <w:spacing w:after="140"/>
      </w:pPr>
      <w:r>
        <w:t xml:space="preserve">Each section in this guide corresponds to a module in the online course. Use the included practice questions and review sections to test your knowledge. Refer to the glossary for quick definitions of key terms. This active learning approach will help you retain information more effectively.</w:t>
      </w:r>
    </w:p>
    <w:p>
      <w:pPr>
        <w:pStyle w:val="Heading1"/>
        <w:pageBreakBefore/>
      </w:pPr>
      <w:r>
        <w:t xml:space="preserve">Chapter 1: Medication Routes, Forms, and Basic Calculations</w:t>
      </w:r>
    </w:p>
    <w:p>
      <w:pPr>
        <w:spacing w:after="140"/>
      </w:pPr>
      <w:r>
        <w:t xml:space="preserve">This chapter introduces fundamental concepts in medication management essential for aides and caregivers. You will learn about the various ways medications are administered, common forms they take, and critical safety considerations for each route. Understanding these basics is vital for safely assisting with medication self-administration and for recognizing situations that require immediate attention from a nurse or pharmacist.</w:t>
      </w:r>
    </w:p>
    <w:p>
      <w:pPr>
        <w:spacing w:after="140"/>
      </w:pPr>
      <w:r>
        <w:t xml:space="preserve">The chapter also provides an introduction to basic dosage calculations. While aides and caregivers do not typically administer medications or perform complex calculations independently, understanding the principles of dosage calculation helps in verifying medication orders and ensuring accuracy. This knowledge supports your role in medication adherence and patient safety.</w:t>
      </w:r>
    </w:p>
    <w:p>
      <w:pPr>
        <w:pStyle w:val="Heading2"/>
      </w:pPr>
      <w:r>
        <w:t xml:space="preserve">Understanding Medication Administration Routes and Forms</w:t>
      </w:r>
    </w:p>
    <w:p>
      <w:pPr>
        <w:spacing w:after="120"/>
      </w:pPr>
      <w:r>
        <w:rPr>
          <w:rFonts w:ascii="Arial" w:cs="Arial" w:eastAsia="Arial" w:hAnsi="Arial"/>
          <w:color w:val="666666"/>
          <w:sz w:val="15"/>
          <w:szCs w:val="15"/>
        </w:rPr>
        <w:t xml:space="preserve">Covers: Medical Terminology: Medication Administration Routes &amp; Abbreviations Nursing #nursing #nclex (video, 1 min) · Oral Liquid Medication Administration: Pouring Medicine in a Cup Nursing Clinical Skills (video, 5 min) · Buccal Medication Administration Route Nursing Skill (video, 3 min)</w:t>
      </w:r>
    </w:p>
    <w:p>
      <w:pPr>
        <w:spacing w:after="140"/>
      </w:pPr>
      <w:r>
        <w:t xml:space="preserve">Medications enter the body through various routes, each chosen for specific reasons such as speed of action, patient comfort, or the medication's properties. As an aide or caregiver, you will primarily encounter oral, topical, and sometimes buccal routes. Recognizing these routes and their associated forms is a cornerstone of safe medication assistance.</w:t>
      </w:r>
    </w:p>
    <w:p>
      <w:pPr>
        <w:pStyle w:val="Heading4"/>
        <w:spacing w:after="80" w:before="200"/>
      </w:pPr>
      <w:r>
        <w:t xml:space="preserve">Common Medication Routes</w:t>
      </w:r>
    </w:p>
    <w:p>
      <w:pPr>
        <w:pStyle w:val="ListParagraph"/>
        <w:numPr>
          <w:ilvl w:val="0"/>
          <w:numId w:val="1"/>
        </w:numPr>
        <w:spacing w:after="60"/>
      </w:pPr>
      <w:r>
        <w:rPr>
          <w:b/>
          <w:bCs/>
        </w:rPr>
        <w:t xml:space="preserve">Oral (PO):</w:t>
      </w:r>
      <w:r>
        <w:t xml:space="preserve"> Medications taken by mouth and swallowed. This is the most common and convenient route. Forms include tablets, capsules, liquids, and powders.</w:t>
      </w:r>
    </w:p>
    <w:p>
      <w:pPr>
        <w:pStyle w:val="ListParagraph"/>
        <w:numPr>
          <w:ilvl w:val="0"/>
          <w:numId w:val="1"/>
        </w:numPr>
        <w:spacing w:after="60"/>
      </w:pPr>
      <w:r>
        <w:rPr>
          <w:b/>
          <w:bCs/>
        </w:rPr>
        <w:t xml:space="preserve">Buccal:</w:t>
      </w:r>
      <w:r>
        <w:t xml:space="preserve"> Medication placed between the cheek and gum, where it dissolves and is absorbed through the mucous membranes. This route is used for local effect or systemic absorption when rapid action is needed or if the medication is destroyed by stomach acid.</w:t>
      </w:r>
    </w:p>
    <w:p>
      <w:pPr>
        <w:pStyle w:val="ListParagraph"/>
        <w:numPr>
          <w:ilvl w:val="0"/>
          <w:numId w:val="1"/>
        </w:numPr>
        <w:spacing w:after="60"/>
      </w:pPr>
      <w:r>
        <w:rPr>
          <w:b/>
          <w:bCs/>
        </w:rPr>
        <w:t xml:space="preserve">Sublingual (SL):</w:t>
      </w:r>
      <w:r>
        <w:t xml:space="preserve"> Medication placed under the tongue to dissolve. Similar to buccal, it offers rapid absorption into the bloodstream.</w:t>
      </w:r>
    </w:p>
    <w:p>
      <w:pPr>
        <w:pStyle w:val="ListParagraph"/>
        <w:numPr>
          <w:ilvl w:val="0"/>
          <w:numId w:val="1"/>
        </w:numPr>
        <w:spacing w:after="60"/>
      </w:pPr>
      <w:r>
        <w:rPr>
          <w:b/>
          <w:bCs/>
        </w:rPr>
        <w:t xml:space="preserve">Topical:</w:t>
      </w:r>
      <w:r>
        <w:t xml:space="preserve"> Applied to the skin or mucous membranes for local effect. Examples include creams, ointments, lotions, patches, and eye or ear drops.</w:t>
      </w:r>
    </w:p>
    <w:p>
      <w:pPr>
        <w:pStyle w:val="ListParagraph"/>
        <w:numPr>
          <w:ilvl w:val="0"/>
          <w:numId w:val="1"/>
        </w:numPr>
        <w:spacing w:after="60"/>
      </w:pPr>
      <w:r>
        <w:rPr>
          <w:b/>
          <w:bCs/>
        </w:rPr>
        <w:t xml:space="preserve">Rectal (PR):</w:t>
      </w:r>
      <w:r>
        <w:t xml:space="preserve"> Inserted into the rectum. Used for local effects (e.g., hemorrhoids) or systemic absorption, especially if the patient cannot take medication orally.</w:t>
      </w:r>
    </w:p>
    <w:p>
      <w:pPr>
        <w:pStyle w:val="ListParagraph"/>
        <w:numPr>
          <w:ilvl w:val="0"/>
          <w:numId w:val="1"/>
        </w:numPr>
        <w:spacing w:after="60"/>
      </w:pPr>
      <w:r>
        <w:rPr>
          <w:b/>
          <w:bCs/>
        </w:rPr>
        <w:t xml:space="preserve">Inhaled:</w:t>
      </w:r>
      <w:r>
        <w:t xml:space="preserve"> Breathed into the lungs, often through an inhaler or nebulizer, for local respiratory effects or systemic absorption.</w:t>
      </w:r>
    </w:p>
    <w:p>
      <w:pPr>
        <w:pStyle w:val="ListParagraph"/>
        <w:numPr>
          <w:ilvl w:val="0"/>
          <w:numId w:val="1"/>
        </w:numPr>
        <w:spacing w:after="60"/>
      </w:pPr>
      <w:r>
        <w:rPr>
          <w:b/>
          <w:bCs/>
        </w:rPr>
        <w:t xml:space="preserve">Parenteral:</w:t>
      </w:r>
      <w:r>
        <w:t xml:space="preserve"> Administered by injection (e.g., intravenous, intramuscular, subcutaneous). This route bypasses the digestive system and requires sterile technique. Aides and caregivers generally do not administer parenteral medications but may assist with self-administration of certain types, such as insulin.</w:t>
      </w:r>
    </w:p>
    <w:p>
      <w:pPr>
        <w:pStyle w:val="Heading4"/>
        <w:spacing w:after="80" w:before="200"/>
      </w:pPr>
      <w:r>
        <w:t xml:space="preserve">Oral Medication Administration</w:t>
      </w:r>
    </w:p>
    <w:p>
      <w:pPr>
        <w:spacing w:after="140"/>
      </w:pPr>
      <w:r>
        <w:t xml:space="preserve">Administering oral medications, especially liquids, requires precision. When pouring liquid medication into a measuring cup, always place the cup on a flat surface at eye level. Read the measurement at the bottom of the meniscus (the curved surface of the liquid). Pour slowly to avoid spills and ensure accuracy. Never estimate liquid medication dosages. Common mistakes include pouring too quickly, not reading at eye level, or failing to use the correct measuring device.</w:t>
      </w:r>
    </w:p>
    <w:p>
      <w:pPr>
        <w:spacing w:after="140"/>
      </w:pPr>
      <w:r>
        <w:t xml:space="preserve">Tablets and capsules are generally swallowed whole. However, some tablets may be scored, meaning they have a line allowing them to be broken in half. Only split tablets if they are scored and if the healthcare provider has specifically ordered a half dose. Never crush or break extended-release, enteric-coated, or sustained-release medications unless explicitly instructed by a pharmacist or nurse, as this can alter their intended action or cause adverse effects.</w:t>
      </w:r>
    </w:p>
    <w:p>
      <w:pPr>
        <w:pStyle w:val="Heading4"/>
        <w:spacing w:after="80" w:before="200"/>
      </w:pPr>
      <w:r>
        <w:t xml:space="preserve">Buccal Medication Administration</w:t>
      </w:r>
    </w:p>
    <w:p>
      <w:pPr>
        <w:spacing w:after="140"/>
      </w:pPr>
      <w:r>
        <w:t xml:space="preserve">For buccal medications, instruct the individual to place the tablet between their cheek and gum. The medication should be allowed to dissolve slowly without chewing, crushing, or swallowing. Emphasize that the individual should not eat or drink until the medication has fully dissolved and absorbed. This ensures the medication works as intended and prevents accidental swallowing, which could reduce its effectiveness or cause stomach upset.</w:t>
      </w:r>
    </w:p>
    <w:p>
      <w:pPr>
        <w:pStyle w:val="Heading4"/>
        <w:spacing w:after="80" w:before="200"/>
      </w:pPr>
      <w:r>
        <w:t xml:space="preserve">Common Medication Abbreviations</w:t>
      </w:r>
    </w:p>
    <w:p>
      <w:pPr>
        <w:spacing w:after="140"/>
      </w:pPr>
      <w:r>
        <w:t xml:space="preserve">Understanding common abbreviations is crucial for interpreting medication orders. Some examples include:</w:t>
      </w:r>
    </w:p>
    <w:p>
      <w:pPr>
        <w:pStyle w:val="ListParagraph"/>
        <w:numPr>
          <w:ilvl w:val="0"/>
          <w:numId w:val="1"/>
        </w:numPr>
        <w:spacing w:after="60"/>
      </w:pPr>
      <w:r>
        <w:rPr>
          <w:b/>
          <w:bCs/>
        </w:rPr>
        <w:t xml:space="preserve">PO:</w:t>
      </w:r>
      <w:r>
        <w:t xml:space="preserve"> By mouth</w:t>
      </w:r>
    </w:p>
    <w:p>
      <w:pPr>
        <w:pStyle w:val="ListParagraph"/>
        <w:numPr>
          <w:ilvl w:val="0"/>
          <w:numId w:val="1"/>
        </w:numPr>
        <w:spacing w:after="60"/>
      </w:pPr>
      <w:r>
        <w:rPr>
          <w:b/>
          <w:bCs/>
        </w:rPr>
        <w:t xml:space="preserve">SL:</w:t>
      </w:r>
      <w:r>
        <w:t xml:space="preserve"> Sublingual (under the tongue)</w:t>
      </w:r>
    </w:p>
    <w:p>
      <w:pPr>
        <w:pStyle w:val="ListParagraph"/>
        <w:numPr>
          <w:ilvl w:val="0"/>
          <w:numId w:val="1"/>
        </w:numPr>
        <w:spacing w:after="60"/>
      </w:pPr>
      <w:r>
        <w:rPr>
          <w:b/>
          <w:bCs/>
        </w:rPr>
        <w:t xml:space="preserve">PR:</w:t>
      </w:r>
      <w:r>
        <w:t xml:space="preserve"> Per rectum (by rectum)</w:t>
      </w:r>
    </w:p>
    <w:p>
      <w:pPr>
        <w:pStyle w:val="ListParagraph"/>
        <w:numPr>
          <w:ilvl w:val="0"/>
          <w:numId w:val="1"/>
        </w:numPr>
        <w:spacing w:after="60"/>
      </w:pPr>
      <w:r>
        <w:rPr>
          <w:b/>
          <w:bCs/>
        </w:rPr>
        <w:t xml:space="preserve">OD/QD:</w:t>
      </w:r>
      <w:r>
        <w:t xml:space="preserve"> Once daily (use 'daily' to avoid confusion)</w:t>
      </w:r>
    </w:p>
    <w:p>
      <w:pPr>
        <w:pStyle w:val="ListParagraph"/>
        <w:numPr>
          <w:ilvl w:val="0"/>
          <w:numId w:val="1"/>
        </w:numPr>
        <w:spacing w:after="60"/>
      </w:pPr>
      <w:r>
        <w:rPr>
          <w:b/>
          <w:bCs/>
        </w:rPr>
        <w:t xml:space="preserve">BID:</w:t>
      </w:r>
      <w:r>
        <w:t xml:space="preserve"> Twice daily</w:t>
      </w:r>
    </w:p>
    <w:p>
      <w:pPr>
        <w:pStyle w:val="ListParagraph"/>
        <w:numPr>
          <w:ilvl w:val="0"/>
          <w:numId w:val="1"/>
        </w:numPr>
        <w:spacing w:after="60"/>
      </w:pPr>
      <w:r>
        <w:rPr>
          <w:b/>
          <w:bCs/>
        </w:rPr>
        <w:t xml:space="preserve">TID:</w:t>
      </w:r>
      <w:r>
        <w:t xml:space="preserve"> Three times daily</w:t>
      </w:r>
    </w:p>
    <w:p>
      <w:pPr>
        <w:pStyle w:val="ListParagraph"/>
        <w:numPr>
          <w:ilvl w:val="0"/>
          <w:numId w:val="1"/>
        </w:numPr>
        <w:spacing w:after="60"/>
      </w:pPr>
      <w:r>
        <w:rPr>
          <w:b/>
          <w:bCs/>
        </w:rPr>
        <w:t xml:space="preserve">QID:</w:t>
      </w:r>
      <w:r>
        <w:t xml:space="preserve"> Four times daily</w:t>
      </w:r>
    </w:p>
    <w:p>
      <w:pPr>
        <w:pStyle w:val="ListParagraph"/>
        <w:numPr>
          <w:ilvl w:val="0"/>
          <w:numId w:val="1"/>
        </w:numPr>
        <w:spacing w:after="60"/>
      </w:pPr>
      <w:r>
        <w:rPr>
          <w:b/>
          <w:bCs/>
        </w:rPr>
        <w:t xml:space="preserve">AC:</w:t>
      </w:r>
      <w:r>
        <w:t xml:space="preserve"> Before meals</w:t>
      </w:r>
    </w:p>
    <w:p>
      <w:pPr>
        <w:pStyle w:val="ListParagraph"/>
        <w:numPr>
          <w:ilvl w:val="0"/>
          <w:numId w:val="1"/>
        </w:numPr>
        <w:spacing w:after="60"/>
      </w:pPr>
      <w:r>
        <w:rPr>
          <w:b/>
          <w:bCs/>
        </w:rPr>
        <w:t xml:space="preserve">PC:</w:t>
      </w:r>
      <w:r>
        <w:t xml:space="preserve"> After meals</w:t>
      </w:r>
    </w:p>
    <w:p>
      <w:pPr>
        <w:pStyle w:val="ListParagraph"/>
        <w:numPr>
          <w:ilvl w:val="0"/>
          <w:numId w:val="1"/>
        </w:numPr>
        <w:spacing w:after="60"/>
      </w:pPr>
      <w:r>
        <w:rPr>
          <w:b/>
          <w:bCs/>
        </w:rPr>
        <w:t xml:space="preserve">HS:</w:t>
      </w:r>
      <w:r>
        <w:t xml:space="preserve"> At bedtime</w:t>
      </w:r>
    </w:p>
    <w:p>
      <w:pPr>
        <w:pStyle w:val="ListParagraph"/>
        <w:numPr>
          <w:ilvl w:val="0"/>
          <w:numId w:val="1"/>
        </w:numPr>
        <w:spacing w:after="60"/>
      </w:pPr>
      <w:r>
        <w:rPr>
          <w:b/>
          <w:bCs/>
        </w:rPr>
        <w:t xml:space="preserve">PRN:</w:t>
      </w:r>
      <w:r>
        <w:t xml:space="preserve"> As needed</w:t>
      </w:r>
    </w:p>
    <w:p>
      <w:pPr>
        <w:spacing w:after="140"/>
      </w:pPr>
      <w:r>
        <w:t xml:space="preserve">Always clarify any unfamiliar abbreviations or unclear orders with a nurse or pharmacist. Safety is paramount when assisting with medications.</w:t>
      </w:r>
    </w:p>
    <w:p>
      <w:pPr>
        <w:pStyle w:val="Heading2"/>
      </w:pPr>
      <w:r>
        <w:t xml:space="preserve">Introduction to Parenteral Administration and Vial Preparation</w:t>
      </w:r>
    </w:p>
    <w:p>
      <w:pPr>
        <w:spacing w:after="120"/>
      </w:pPr>
      <w:r>
        <w:rPr>
          <w:rFonts w:ascii="Arial" w:cs="Arial" w:eastAsia="Arial" w:hAnsi="Arial"/>
          <w:color w:val="666666"/>
          <w:sz w:val="15"/>
          <w:szCs w:val="15"/>
        </w:rPr>
        <w:t xml:space="preserve">Covers: Inject Air Into a Vial for Medication Administration Nursing Tip #shorts (video, 1 min) · IV Insertion Mistakes to Avoid Nursing | IV Cannulation Technique Mistakes (video, 4 min)</w:t>
      </w:r>
    </w:p>
    <w:p>
      <w:pPr>
        <w:spacing w:after="140"/>
      </w:pPr>
      <w:r>
        <w:t xml:space="preserve">Parenteral routes involve administering medication by injection, bypassing the digestive system. While aides and caregivers typically do not administer parenteral medications, understanding the basic principles, especially regarding vial preparation and general safety, is important. This knowledge allows you to assist individuals who self-administer and to recognize potential issues.</w:t>
      </w:r>
    </w:p>
    <w:p>
      <w:pPr>
        <w:pStyle w:val="Heading4"/>
        <w:spacing w:after="80" w:before="200"/>
      </w:pPr>
      <w:r>
        <w:t xml:space="preserve">Injecting Air Into a Vial</w:t>
      </w:r>
    </w:p>
    <w:p>
      <w:pPr>
        <w:spacing w:after="140"/>
      </w:pPr>
      <w:r>
        <w:t xml:space="preserve">When drawing medication from a vial, it is common practice to inject an equivalent amount of air into the vial first. This step helps create positive pressure inside the vial, making it easier to withdraw the liquid medication. Without injecting air, a vacuum can form, making it difficult to pull the medication into the syringe. This technique is especially useful for viscous (thick) medications.</w:t>
      </w:r>
    </w:p>
    <w:p>
      <w:pPr>
        <w:spacing w:after="140"/>
      </w:pPr>
      <w:r>
        <w:rPr>
          <w:b/>
          <w:bCs/>
        </w:rPr>
        <w:t xml:space="preserve">Procedure for Injecting Air into a Vial:</w:t>
      </w:r>
    </w:p>
    <w:p>
      <w:pPr>
        <w:pStyle w:val="ListParagraph"/>
        <w:numPr>
          <w:ilvl w:val="0"/>
          <w:numId w:val="2"/>
        </w:numPr>
        <w:spacing w:after="60"/>
      </w:pPr>
      <w:r>
        <w:rPr>
          <w:b/>
          <w:bCs/>
        </w:rPr>
        <w:t xml:space="preserve">Gather Supplies:</w:t>
      </w:r>
      <w:r>
        <w:t xml:space="preserve"> Obtain the medication vial, a syringe with an appropriate needle, and alcohol swabs.</w:t>
      </w:r>
    </w:p>
    <w:p>
      <w:pPr>
        <w:pStyle w:val="ListParagraph"/>
        <w:numPr>
          <w:ilvl w:val="0"/>
          <w:numId w:val="2"/>
        </w:numPr>
        <w:spacing w:after="60"/>
      </w:pPr>
      <w:r>
        <w:rPr>
          <w:b/>
          <w:bCs/>
        </w:rPr>
        <w:t xml:space="preserve">Hand Hygiene:</w:t>
      </w:r>
      <w:r>
        <w:t xml:space="preserve"> Wash your hands thoroughly or use an alcohol-based hand sanitizer.</w:t>
      </w:r>
    </w:p>
    <w:p>
      <w:pPr>
        <w:pStyle w:val="ListParagraph"/>
        <w:numPr>
          <w:ilvl w:val="0"/>
          <w:numId w:val="2"/>
        </w:numPr>
        <w:spacing w:after="60"/>
      </w:pPr>
      <w:r>
        <w:rPr>
          <w:b/>
          <w:bCs/>
        </w:rPr>
        <w:t xml:space="preserve">Prepare Vial:</w:t>
      </w:r>
      <w:r>
        <w:t xml:space="preserve"> Clean the rubber stopper of the medication vial with an alcohol swab. Allow it to air dry completely.</w:t>
      </w:r>
    </w:p>
    <w:p>
      <w:pPr>
        <w:pStyle w:val="ListParagraph"/>
        <w:numPr>
          <w:ilvl w:val="0"/>
          <w:numId w:val="2"/>
        </w:numPr>
        <w:spacing w:after="60"/>
      </w:pPr>
      <w:r>
        <w:rPr>
          <w:b/>
          <w:bCs/>
        </w:rPr>
        <w:t xml:space="preserve">Draw Air:</w:t>
      </w:r>
      <w:r>
        <w:t xml:space="preserve"> Pull back the plunger of the syringe to draw an amount of air equal to the desired medication dose. For example, if you need 1 mL of medication, draw 1 mL of air.</w:t>
      </w:r>
    </w:p>
    <w:p>
      <w:pPr>
        <w:pStyle w:val="ListParagraph"/>
        <w:numPr>
          <w:ilvl w:val="0"/>
          <w:numId w:val="2"/>
        </w:numPr>
        <w:spacing w:after="60"/>
      </w:pPr>
      <w:r>
        <w:rPr>
          <w:b/>
          <w:bCs/>
        </w:rPr>
        <w:t xml:space="preserve">Insert Needle:</w:t>
      </w:r>
      <w:r>
        <w:t xml:space="preserve"> Insert the needle through the center of the rubber stopper of the vial. Ensure the bevel of the needle is facing up when piercing the stopper to minimize coring (creating small rubber particles).</w:t>
      </w:r>
    </w:p>
    <w:p>
      <w:pPr>
        <w:pStyle w:val="ListParagraph"/>
        <w:numPr>
          <w:ilvl w:val="0"/>
          <w:numId w:val="2"/>
        </w:numPr>
        <w:spacing w:after="60"/>
      </w:pPr>
      <w:r>
        <w:rPr>
          <w:b/>
          <w:bCs/>
        </w:rPr>
        <w:t xml:space="preserve">Inject Air:</w:t>
      </w:r>
      <w:r>
        <w:t xml:space="preserve"> Push the plunger to inject all the air from the syringe into the vial. This equalizes the pressure.</w:t>
      </w:r>
    </w:p>
    <w:p>
      <w:pPr>
        <w:pStyle w:val="ListParagraph"/>
        <w:numPr>
          <w:ilvl w:val="0"/>
          <w:numId w:val="2"/>
        </w:numPr>
        <w:spacing w:after="60"/>
      </w:pPr>
      <w:r>
        <w:rPr>
          <w:b/>
          <w:bCs/>
        </w:rPr>
        <w:t xml:space="preserve">Invert Vial:</w:t>
      </w:r>
      <w:r>
        <w:t xml:space="preserve"> Invert the vial (turn it upside down) with the syringe still attached.</w:t>
      </w:r>
    </w:p>
    <w:p>
      <w:pPr>
        <w:pStyle w:val="ListParagraph"/>
        <w:numPr>
          <w:ilvl w:val="0"/>
          <w:numId w:val="2"/>
        </w:numPr>
        <w:spacing w:after="60"/>
      </w:pPr>
      <w:r>
        <w:rPr>
          <w:b/>
          <w:bCs/>
        </w:rPr>
        <w:t xml:space="preserve">Withdraw Medication:</w:t>
      </w:r>
      <w:r>
        <w:t xml:space="preserve"> Keep the needle tip below the fluid level and slowly pull back the plunger to withdraw the correct dose of medication. Tap the syringe gently to remove any air bubbles, then push the plunger slightly to expel them back into the vial.</w:t>
      </w:r>
    </w:p>
    <w:p>
      <w:pPr>
        <w:pStyle w:val="ListParagraph"/>
        <w:numPr>
          <w:ilvl w:val="0"/>
          <w:numId w:val="2"/>
        </w:numPr>
        <w:spacing w:after="60"/>
      </w:pPr>
      <w:r>
        <w:rPr>
          <w:b/>
          <w:bCs/>
        </w:rPr>
        <w:t xml:space="preserve">Remove Needle:</w:t>
      </w:r>
      <w:r>
        <w:t xml:space="preserve"> Once the correct dose is drawn, remove the needle from the vial. Carefully recap the needle using a scoop method or safety device, if applicable, to prevent needlestick injuries.</w:t>
      </w:r>
    </w:p>
    <w:p>
      <w:pPr>
        <w:spacing w:after="140"/>
      </w:pPr>
      <w:r>
        <w:t xml:space="preserve">Common mistakes include not cleaning the stopper, not injecting air, or withdrawing the needle before the correct dose is obtained. Always ensure the syringe contains only the prescribed medication and dose.</w:t>
      </w:r>
    </w:p>
    <w:p>
      <w:pPr>
        <w:pStyle w:val="Heading4"/>
        <w:spacing w:after="80" w:before="200"/>
      </w:pPr>
      <w:r>
        <w:t xml:space="preserve">IV Administration Basics and Safety</w:t>
      </w:r>
    </w:p>
    <w:p>
      <w:pPr>
        <w:spacing w:after="140"/>
      </w:pPr>
      <w:r>
        <w:t xml:space="preserve">Intravenous (IV) administration involves delivering medication directly into a vein. This route provides rapid effects and precise dosage control. Aides and caregivers do not insert IVs or administer IV medications. However, you may care for individuals who have IV lines in place. Your role involves observing the IV site and the individual for any signs of complications.</w:t>
      </w:r>
    </w:p>
    <w:p>
      <w:pPr>
        <w:spacing w:after="140"/>
      </w:pPr>
      <w:r>
        <w:rPr>
          <w:b/>
          <w:bCs/>
        </w:rPr>
        <w:t xml:space="preserve">Key Observations for IV Sites:</w:t>
      </w:r>
    </w:p>
    <w:p>
      <w:pPr>
        <w:pStyle w:val="ListParagraph"/>
        <w:numPr>
          <w:ilvl w:val="0"/>
          <w:numId w:val="1"/>
        </w:numPr>
        <w:spacing w:after="60"/>
      </w:pPr>
      <w:r>
        <w:rPr>
          <w:b/>
          <w:bCs/>
        </w:rPr>
        <w:t xml:space="preserve">Redness or Swelling:</w:t>
      </w:r>
      <w:r>
        <w:t xml:space="preserve"> Can indicate infection or infiltration (fluid leaking into surrounding tissue).</w:t>
      </w:r>
    </w:p>
    <w:p>
      <w:pPr>
        <w:pStyle w:val="ListParagraph"/>
        <w:numPr>
          <w:ilvl w:val="0"/>
          <w:numId w:val="1"/>
        </w:numPr>
        <w:spacing w:after="60"/>
      </w:pPr>
      <w:r>
        <w:rPr>
          <w:b/>
          <w:bCs/>
        </w:rPr>
        <w:t xml:space="preserve">Pain or Tenderness:</w:t>
      </w:r>
      <w:r>
        <w:t xml:space="preserve"> May suggest inflammation or phlebitis (vein inflammation).</w:t>
      </w:r>
    </w:p>
    <w:p>
      <w:pPr>
        <w:pStyle w:val="ListParagraph"/>
        <w:numPr>
          <w:ilvl w:val="0"/>
          <w:numId w:val="1"/>
        </w:numPr>
        <w:spacing w:after="60"/>
      </w:pPr>
      <w:r>
        <w:rPr>
          <w:b/>
          <w:bCs/>
        </w:rPr>
        <w:t xml:space="preserve">Leakage:</w:t>
      </w:r>
      <w:r>
        <w:t xml:space="preserve"> Fluid around the insertion site.</w:t>
      </w:r>
    </w:p>
    <w:p>
      <w:pPr>
        <w:pStyle w:val="ListParagraph"/>
        <w:numPr>
          <w:ilvl w:val="0"/>
          <w:numId w:val="1"/>
        </w:numPr>
        <w:spacing w:after="60"/>
      </w:pPr>
      <w:r>
        <w:rPr>
          <w:b/>
          <w:bCs/>
        </w:rPr>
        <w:t xml:space="preserve">Fever:</w:t>
      </w:r>
      <w:r>
        <w:t xml:space="preserve"> A systemic sign of infection.</w:t>
      </w:r>
    </w:p>
    <w:p>
      <w:pPr>
        <w:pStyle w:val="ListParagraph"/>
        <w:numPr>
          <w:ilvl w:val="0"/>
          <w:numId w:val="1"/>
        </w:numPr>
        <w:spacing w:after="60"/>
      </w:pPr>
      <w:r>
        <w:rPr>
          <w:b/>
          <w:bCs/>
        </w:rPr>
        <w:t xml:space="preserve">Pump Alarms:</w:t>
      </w:r>
      <w:r>
        <w:t xml:space="preserve"> Report any alarms on an IV pump immediately to a nurse.</w:t>
      </w:r>
    </w:p>
    <w:p>
      <w:pPr>
        <w:spacing w:after="140"/>
      </w:pPr>
      <w:r>
        <w:t xml:space="preserve">Understanding common IV insertion mistakes, such as improper site selection, inadequate skin preparation, or incorrect angle of insertion, helps you appreciate the skill required for IV administration. While you are not performing these tasks, knowing what to look for allows you to provide crucial information to the nursing staff, contributing to patient safety. Always report any concerns about an IV site or the individual's condition to a licensed nurse immediately.</w:t>
      </w:r>
    </w:p>
    <w:p>
      <w:pPr>
        <w:pStyle w:val="Heading2"/>
      </w:pPr>
      <w:r>
        <w:t xml:space="preserve">Basic Dosage Calculations for Medication Safety</w:t>
      </w:r>
    </w:p>
    <w:p>
      <w:pPr>
        <w:spacing w:after="120"/>
      </w:pPr>
      <w:r>
        <w:rPr>
          <w:rFonts w:ascii="Arial" w:cs="Arial" w:eastAsia="Arial" w:hAnsi="Arial"/>
          <w:color w:val="666666"/>
          <w:sz w:val="15"/>
          <w:szCs w:val="15"/>
        </w:rPr>
        <w:t xml:space="preserve">Covers: Weight-Based Dosage Calculations Desired-Over-Have Nursing School NCLEX Review (video, 15 min) · Tablets &amp; Capsules Dosage Calculations Made Easy: Desired Over Have Method Nursing NCLEX (video, 12 min) · Insulin Drip Calculations mL/hr Infusion Nursing Practice Problems Dosage Calculations NCLEX (video, 5 min)</w:t>
      </w:r>
    </w:p>
    <w:p>
      <w:pPr>
        <w:spacing w:after="140"/>
      </w:pPr>
      <w:r>
        <w:t xml:space="preserve">Accurate medication dosage is critical for patient safety and therapeutic effectiveness. Even though aides and caregivers typically do not independently calculate and administer medications, understanding basic dosage calculation principles is a valuable skill. It helps you recognize potential errors in medication orders or preparations and enables you to support the nursing staff more effectively. The 'Desired Over Have' method is a fundamental approach to many dosage calculations.</w:t>
      </w:r>
    </w:p>
    <w:p>
      <w:pPr>
        <w:pStyle w:val="Heading4"/>
        <w:spacing w:after="80" w:before="200"/>
      </w:pPr>
      <w:r>
        <w:t xml:space="preserve">The 'Desired Over Have' Method</w:t>
      </w:r>
    </w:p>
    <w:p>
      <w:pPr>
        <w:spacing w:after="140"/>
      </w:pPr>
      <w:r>
        <w:t xml:space="preserve">This method is straightforward and widely used for calculating doses of tablets, capsules, and liquid medications. The formula is:</w:t>
      </w:r>
    </w:p>
    <w:p>
      <w:pPr>
        <w:keepLines/>
        <w:shd w:fill="F5F5F5" w:val="clear"/>
        <w:spacing w:after="0" w:line="252"/>
        <w:ind w:left="227" w:right="227"/>
      </w:pPr>
      <w:r>
        <w:rPr>
          <w:rFonts w:ascii="Consolas" w:cs="Consolas" w:eastAsia="Consolas" w:hAnsi="Consolas"/>
          <w:sz w:val="17"/>
          <w:szCs w:val="17"/>
        </w:rPr>
        <w:t xml:space="preserve">Desired Dose (D)</w:t>
      </w:r>
    </w:p>
    <w:p>
      <w:pPr>
        <w:keepLines/>
        <w:shd w:fill="F5F5F5" w:val="clear"/>
        <w:spacing w:after="0" w:line="252"/>
        <w:ind w:left="227" w:right="227"/>
      </w:pPr>
      <w:r>
        <w:rPr>
          <w:rFonts w:ascii="Consolas" w:cs="Consolas" w:eastAsia="Consolas" w:hAnsi="Consolas"/>
          <w:sz w:val="17"/>
          <w:szCs w:val="17"/>
        </w:rPr>
        <w:t xml:space="preserve">----------------- x Quantity (Q) = Amount to Administer</w:t>
      </w:r>
    </w:p>
    <w:p>
      <w:pPr>
        <w:keepLines/>
        <w:shd w:fill="F5F5F5" w:val="clear"/>
        <w:spacing w:after="160" w:line="252"/>
        <w:ind w:left="227" w:right="227"/>
      </w:pPr>
      <w:r>
        <w:rPr>
          <w:rFonts w:ascii="Consolas" w:cs="Consolas" w:eastAsia="Consolas" w:hAnsi="Consolas"/>
          <w:sz w:val="17"/>
          <w:szCs w:val="17"/>
        </w:rPr>
        <w:t xml:space="preserve">Available Dose (H)</w:t>
      </w:r>
    </w:p>
    <w:p>
      <w:pPr>
        <w:pStyle w:val="ListParagraph"/>
        <w:numPr>
          <w:ilvl w:val="0"/>
          <w:numId w:val="1"/>
        </w:numPr>
        <w:spacing w:after="60"/>
      </w:pPr>
      <w:r>
        <w:rPr>
          <w:b/>
          <w:bCs/>
        </w:rPr>
        <w:t xml:space="preserve">Desired Dose (D):</w:t>
      </w:r>
      <w:r>
        <w:t xml:space="preserve"> The dose prescribed by the healthcare provider.</w:t>
      </w:r>
    </w:p>
    <w:p>
      <w:pPr>
        <w:pStyle w:val="ListParagraph"/>
        <w:numPr>
          <w:ilvl w:val="0"/>
          <w:numId w:val="1"/>
        </w:numPr>
        <w:spacing w:after="60"/>
      </w:pPr>
      <w:r>
        <w:rPr>
          <w:b/>
          <w:bCs/>
        </w:rPr>
        <w:t xml:space="preserve">Available Dose (H):</w:t>
      </w:r>
      <w:r>
        <w:t xml:space="preserve"> The dose strength of the medication on hand (e.g., 250 mg per tablet, 125 mg per 5 mL).</w:t>
      </w:r>
    </w:p>
    <w:p>
      <w:pPr>
        <w:pStyle w:val="ListParagraph"/>
        <w:numPr>
          <w:ilvl w:val="0"/>
          <w:numId w:val="1"/>
        </w:numPr>
        <w:spacing w:after="60"/>
      </w:pPr>
      <w:r>
        <w:rPr>
          <w:b/>
          <w:bCs/>
        </w:rPr>
        <w:t xml:space="preserve">Quantity (Q):</w:t>
      </w:r>
      <w:r>
        <w:t xml:space="preserve"> The form or unit of the available medication (e.g., 1 tablet, 5 mL).</w:t>
      </w:r>
    </w:p>
    <w:p>
      <w:pPr>
        <w:spacing w:after="140"/>
      </w:pPr>
      <w:r>
        <w:rPr>
          <w:b/>
          <w:bCs/>
        </w:rPr>
        <w:t xml:space="preserve">Example 1: Tablets and Capsules</w:t>
      </w:r>
    </w:p>
    <w:p>
      <w:pPr>
        <w:spacing w:after="140"/>
      </w:pPr>
      <w:r>
        <w:t xml:space="preserve">A physician orders Amoxicillin 500 mg PO. The pharmacy supplies Amoxicillin 250 mg tablets.</w:t>
      </w:r>
    </w:p>
    <w:p>
      <w:pPr>
        <w:pStyle w:val="ListParagraph"/>
        <w:numPr>
          <w:ilvl w:val="0"/>
          <w:numId w:val="1"/>
        </w:numPr>
        <w:spacing w:after="60"/>
      </w:pPr>
      <w:r>
        <w:t xml:space="preserve">Desired (D) = 500 mg</w:t>
      </w:r>
    </w:p>
    <w:p>
      <w:pPr>
        <w:pStyle w:val="ListParagraph"/>
        <w:numPr>
          <w:ilvl w:val="0"/>
          <w:numId w:val="1"/>
        </w:numPr>
        <w:spacing w:after="60"/>
      </w:pPr>
      <w:r>
        <w:t xml:space="preserve">Have (H) = 250 mg</w:t>
      </w:r>
    </w:p>
    <w:p>
      <w:pPr>
        <w:pStyle w:val="ListParagraph"/>
        <w:numPr>
          <w:ilvl w:val="0"/>
          <w:numId w:val="1"/>
        </w:numPr>
        <w:spacing w:after="60"/>
      </w:pPr>
      <w:r>
        <w:t xml:space="preserve">Quantity (Q) = 1 tablet</w:t>
      </w:r>
    </w:p>
    <w:p>
      <w:pPr>
        <w:spacing w:after="140"/>
      </w:pPr>
      <w:r>
        <w:t xml:space="preserve">Calculation:</w:t>
      </w:r>
    </w:p>
    <w:p>
      <w:pPr>
        <w:keepLines/>
        <w:shd w:fill="F5F5F5" w:val="clear"/>
        <w:spacing w:after="0" w:line="252"/>
        <w:ind w:left="227" w:right="227"/>
      </w:pPr>
      <w:r>
        <w:rPr>
          <w:rFonts w:ascii="Consolas" w:cs="Consolas" w:eastAsia="Consolas" w:hAnsi="Consolas"/>
          <w:sz w:val="17"/>
          <w:szCs w:val="17"/>
        </w:rPr>
        <w:t xml:space="preserve">500 mg</w:t>
      </w:r>
    </w:p>
    <w:p>
      <w:pPr>
        <w:keepLines/>
        <w:shd w:fill="F5F5F5" w:val="clear"/>
        <w:spacing w:after="0" w:line="252"/>
        <w:ind w:left="227" w:right="227"/>
      </w:pPr>
      <w:r>
        <w:rPr>
          <w:rFonts w:ascii="Consolas" w:cs="Consolas" w:eastAsia="Consolas" w:hAnsi="Consolas"/>
          <w:sz w:val="17"/>
          <w:szCs w:val="17"/>
        </w:rPr>
        <w:t xml:space="preserve">------ x 1 tablet = 2 tablets</w:t>
      </w:r>
    </w:p>
    <w:p>
      <w:pPr>
        <w:keepLines/>
        <w:shd w:fill="F5F5F5" w:val="clear"/>
        <w:spacing w:after="160" w:line="252"/>
        <w:ind w:left="227" w:right="227"/>
      </w:pPr>
      <w:r>
        <w:rPr>
          <w:rFonts w:ascii="Consolas" w:cs="Consolas" w:eastAsia="Consolas" w:hAnsi="Consolas"/>
          <w:sz w:val="17"/>
          <w:szCs w:val="17"/>
        </w:rPr>
        <w:t xml:space="preserve">250 mg</w:t>
      </w:r>
    </w:p>
    <w:p>
      <w:pPr>
        <w:spacing w:after="140"/>
      </w:pPr>
      <w:r>
        <w:t xml:space="preserve">Administer 2 tablets.</w:t>
      </w:r>
    </w:p>
    <w:p>
      <w:pPr>
        <w:spacing w:after="140"/>
      </w:pPr>
      <w:r>
        <w:rPr>
          <w:b/>
          <w:bCs/>
        </w:rPr>
        <w:t xml:space="preserve">Example 2: Oral Liquid Medications</w:t>
      </w:r>
    </w:p>
    <w:p>
      <w:pPr>
        <w:spacing w:after="140"/>
      </w:pPr>
      <w:r>
        <w:t xml:space="preserve">The order is for Ibuprofen 100 mg PO. The liquid medication available is Ibuprofen 20 mg per 1 mL.</w:t>
      </w:r>
    </w:p>
    <w:p>
      <w:pPr>
        <w:pStyle w:val="ListParagraph"/>
        <w:numPr>
          <w:ilvl w:val="0"/>
          <w:numId w:val="1"/>
        </w:numPr>
        <w:spacing w:after="60"/>
      </w:pPr>
      <w:r>
        <w:t xml:space="preserve">Desired (D) = 100 mg</w:t>
      </w:r>
    </w:p>
    <w:p>
      <w:pPr>
        <w:pStyle w:val="ListParagraph"/>
        <w:numPr>
          <w:ilvl w:val="0"/>
          <w:numId w:val="1"/>
        </w:numPr>
        <w:spacing w:after="60"/>
      </w:pPr>
      <w:r>
        <w:t xml:space="preserve">Have (H) = 20 mg</w:t>
      </w:r>
    </w:p>
    <w:p>
      <w:pPr>
        <w:pStyle w:val="ListParagraph"/>
        <w:numPr>
          <w:ilvl w:val="0"/>
          <w:numId w:val="1"/>
        </w:numPr>
        <w:spacing w:after="60"/>
      </w:pPr>
      <w:r>
        <w:t xml:space="preserve">Quantity (Q) = 1 mL</w:t>
      </w:r>
    </w:p>
    <w:p>
      <w:pPr>
        <w:spacing w:after="140"/>
      </w:pPr>
      <w:r>
        <w:t xml:space="preserve">Calculation:</w:t>
      </w:r>
    </w:p>
    <w:p>
      <w:pPr>
        <w:keepLines/>
        <w:shd w:fill="F5F5F5" w:val="clear"/>
        <w:spacing w:after="0" w:line="252"/>
        <w:ind w:left="227" w:right="227"/>
      </w:pPr>
      <w:r>
        <w:rPr>
          <w:rFonts w:ascii="Consolas" w:cs="Consolas" w:eastAsia="Consolas" w:hAnsi="Consolas"/>
          <w:sz w:val="17"/>
          <w:szCs w:val="17"/>
        </w:rPr>
        <w:t xml:space="preserve">100 mg</w:t>
      </w:r>
    </w:p>
    <w:p>
      <w:pPr>
        <w:keepLines/>
        <w:shd w:fill="F5F5F5" w:val="clear"/>
        <w:spacing w:after="0" w:line="252"/>
        <w:ind w:left="227" w:right="227"/>
      </w:pPr>
      <w:r>
        <w:rPr>
          <w:rFonts w:ascii="Consolas" w:cs="Consolas" w:eastAsia="Consolas" w:hAnsi="Consolas"/>
          <w:sz w:val="17"/>
          <w:szCs w:val="17"/>
        </w:rPr>
        <w:t xml:space="preserve">------ x 1 mL = 5 mL</w:t>
      </w:r>
    </w:p>
    <w:p>
      <w:pPr>
        <w:keepLines/>
        <w:shd w:fill="F5F5F5" w:val="clear"/>
        <w:spacing w:after="160" w:line="252"/>
        <w:ind w:left="227" w:right="227"/>
      </w:pPr>
      <w:r>
        <w:rPr>
          <w:rFonts w:ascii="Consolas" w:cs="Consolas" w:eastAsia="Consolas" w:hAnsi="Consolas"/>
          <w:sz w:val="17"/>
          <w:szCs w:val="17"/>
        </w:rPr>
        <w:t xml:space="preserve"> 20 mg</w:t>
      </w:r>
    </w:p>
    <w:p>
      <w:pPr>
        <w:spacing w:after="140"/>
      </w:pPr>
      <w:r>
        <w:t xml:space="preserve">Administer 5 mL of Ibuprofen.</w:t>
      </w:r>
    </w:p>
    <w:p>
      <w:pPr>
        <w:pStyle w:val="Heading4"/>
        <w:spacing w:after="80" w:before="200"/>
      </w:pPr>
      <w:r>
        <w:t xml:space="preserve">Weight-Based Dosage Calculations</w:t>
      </w:r>
    </w:p>
    <w:p>
      <w:pPr>
        <w:spacing w:after="140"/>
      </w:pPr>
      <w:r>
        <w:t xml:space="preserve">Some medications, especially for children or specific conditions, are dosed based on the individual's weight. This requires an extra step to calculate the total dose needed.</w:t>
      </w:r>
    </w:p>
    <w:p>
      <w:pPr>
        <w:spacing w:after="140"/>
      </w:pPr>
      <w:r>
        <w:rPr>
          <w:b/>
          <w:bCs/>
        </w:rPr>
        <w:t xml:space="preserve">Example 3: Weight-Based Dose</w:t>
      </w:r>
    </w:p>
    <w:p>
      <w:pPr>
        <w:spacing w:after="140"/>
      </w:pPr>
      <w:r>
        <w:t xml:space="preserve">The order is for medication X at 10 mg/kg. The individual weighs 60 kg.</w:t>
      </w:r>
    </w:p>
    <w:p>
      <w:pPr>
        <w:spacing w:after="140"/>
      </w:pPr>
      <w:r>
        <w:t xml:space="preserve">First, calculate the total desired dose:</w:t>
      </w:r>
    </w:p>
    <w:p>
      <w:pPr>
        <w:pStyle w:val="ListParagraph"/>
        <w:numPr>
          <w:ilvl w:val="0"/>
          <w:numId w:val="1"/>
        </w:numPr>
        <w:spacing w:after="60"/>
      </w:pPr>
      <w:r>
        <w:t xml:space="preserve">Desired dose per kg = 10 mg/kg</w:t>
      </w:r>
    </w:p>
    <w:p>
      <w:pPr>
        <w:pStyle w:val="ListParagraph"/>
        <w:numPr>
          <w:ilvl w:val="0"/>
          <w:numId w:val="1"/>
        </w:numPr>
        <w:spacing w:after="60"/>
      </w:pPr>
      <w:r>
        <w:t xml:space="preserve">Weight = 60 kg</w:t>
      </w:r>
    </w:p>
    <w:p>
      <w:pPr>
        <w:pStyle w:val="ListParagraph"/>
        <w:numPr>
          <w:ilvl w:val="0"/>
          <w:numId w:val="1"/>
        </w:numPr>
        <w:spacing w:after="60"/>
      </w:pPr>
      <w:r>
        <w:t xml:space="preserve">Total Desired Dose = 10 mg/kg * 60 kg = 600 mg</w:t>
      </w:r>
    </w:p>
    <w:p>
      <w:pPr>
        <w:spacing w:after="140"/>
      </w:pPr>
      <w:r>
        <w:t xml:space="preserve">Now, use the 'Desired Over Have' method with the total desired dose.</w:t>
      </w:r>
    </w:p>
    <w:p>
      <w:pPr>
        <w:spacing w:after="140"/>
      </w:pPr>
      <w:r>
        <w:t xml:space="preserve">If the medication is available as 300 mg per tablet:</w:t>
      </w:r>
    </w:p>
    <w:p>
      <w:pPr>
        <w:pStyle w:val="ListParagraph"/>
        <w:numPr>
          <w:ilvl w:val="0"/>
          <w:numId w:val="1"/>
        </w:numPr>
        <w:spacing w:after="60"/>
      </w:pPr>
      <w:r>
        <w:t xml:space="preserve">Desired (D) = 600 mg</w:t>
      </w:r>
    </w:p>
    <w:p>
      <w:pPr>
        <w:pStyle w:val="ListParagraph"/>
        <w:numPr>
          <w:ilvl w:val="0"/>
          <w:numId w:val="1"/>
        </w:numPr>
        <w:spacing w:after="60"/>
      </w:pPr>
      <w:r>
        <w:t xml:space="preserve">Have (H) = 300 mg</w:t>
      </w:r>
    </w:p>
    <w:p>
      <w:pPr>
        <w:pStyle w:val="ListParagraph"/>
        <w:numPr>
          <w:ilvl w:val="0"/>
          <w:numId w:val="1"/>
        </w:numPr>
        <w:spacing w:after="60"/>
      </w:pPr>
      <w:r>
        <w:t xml:space="preserve">Quantity (Q) = 1 tablet</w:t>
      </w:r>
    </w:p>
    <w:p>
      <w:pPr>
        <w:spacing w:after="140"/>
      </w:pPr>
      <w:r>
        <w:t xml:space="preserve">Calculation:</w:t>
      </w:r>
    </w:p>
    <w:p>
      <w:pPr>
        <w:keepLines/>
        <w:shd w:fill="F5F5F5" w:val="clear"/>
        <w:spacing w:after="0" w:line="252"/>
        <w:ind w:left="227" w:right="227"/>
      </w:pPr>
      <w:r>
        <w:rPr>
          <w:rFonts w:ascii="Consolas" w:cs="Consolas" w:eastAsia="Consolas" w:hAnsi="Consolas"/>
          <w:sz w:val="17"/>
          <w:szCs w:val="17"/>
        </w:rPr>
        <w:t xml:space="preserve">600 mg</w:t>
      </w:r>
    </w:p>
    <w:p>
      <w:pPr>
        <w:keepLines/>
        <w:shd w:fill="F5F5F5" w:val="clear"/>
        <w:spacing w:after="0" w:line="252"/>
        <w:ind w:left="227" w:right="227"/>
      </w:pPr>
      <w:r>
        <w:rPr>
          <w:rFonts w:ascii="Consolas" w:cs="Consolas" w:eastAsia="Consolas" w:hAnsi="Consolas"/>
          <w:sz w:val="17"/>
          <w:szCs w:val="17"/>
        </w:rPr>
        <w:t xml:space="preserve">------ x 1 tablet = 2 tablets</w:t>
      </w:r>
    </w:p>
    <w:p>
      <w:pPr>
        <w:keepLines/>
        <w:shd w:fill="F5F5F5" w:val="clear"/>
        <w:spacing w:after="160" w:line="252"/>
        <w:ind w:left="227" w:right="227"/>
      </w:pPr>
      <w:r>
        <w:rPr>
          <w:rFonts w:ascii="Consolas" w:cs="Consolas" w:eastAsia="Consolas" w:hAnsi="Consolas"/>
          <w:sz w:val="17"/>
          <w:szCs w:val="17"/>
        </w:rPr>
        <w:t xml:space="preserve">300 mg</w:t>
      </w:r>
    </w:p>
    <w:p>
      <w:pPr>
        <w:spacing w:after="140"/>
      </w:pPr>
      <w:r>
        <w:t xml:space="preserve">Administer 2 tablets.</w:t>
      </w:r>
    </w:p>
    <w:p>
      <w:pPr>
        <w:pStyle w:val="Heading4"/>
        <w:spacing w:after="80" w:before="200"/>
      </w:pPr>
      <w:r>
        <w:t xml:space="preserve">Introduction to Infusion Rate Calculations (mL/hr)</w:t>
      </w:r>
    </w:p>
    <w:p>
      <w:pPr>
        <w:spacing w:after="140"/>
      </w:pPr>
      <w:r>
        <w:t xml:space="preserve">For continuous intravenous infusions, medications are often ordered to be delivered at a specific rate, measured in milliliters per hour (mL/hr). While aides and caregivers do not typically set up or adjust IV drips, understanding how these rates are determined helps in monitoring and reporting.</w:t>
      </w:r>
    </w:p>
    <w:p>
      <w:pPr>
        <w:spacing w:after="140"/>
      </w:pPr>
      <w:r>
        <w:rPr>
          <w:b/>
          <w:bCs/>
        </w:rPr>
        <w:t xml:space="preserve">Example 4: Insulin Drip Calculation</w:t>
      </w:r>
    </w:p>
    <w:p>
      <w:pPr>
        <w:spacing w:after="140"/>
      </w:pPr>
      <w:r>
        <w:t xml:space="preserve">An insulin drip is ordered at 2 units/hour. The pharmacy provides an IV bag containing 100 units of insulin in 100 mL of normal saline.</w:t>
      </w:r>
    </w:p>
    <w:p>
      <w:pPr>
        <w:spacing w:after="140"/>
      </w:pPr>
      <w:r>
        <w:t xml:space="preserve">First, determine the concentration of the insulin solution:</w:t>
      </w:r>
    </w:p>
    <w:p>
      <w:pPr>
        <w:pStyle w:val="ListParagraph"/>
        <w:numPr>
          <w:ilvl w:val="0"/>
          <w:numId w:val="1"/>
        </w:numPr>
        <w:spacing w:after="60"/>
      </w:pPr>
      <w:r>
        <w:t xml:space="preserve">100 units / 100 mL = 1 unit/mL</w:t>
      </w:r>
    </w:p>
    <w:p>
      <w:pPr>
        <w:spacing w:after="140"/>
      </w:pPr>
      <w:r>
        <w:t xml:space="preserve">Now, calculate the mL/hr needed to deliver 2 units/hour:</w:t>
      </w:r>
    </w:p>
    <w:p>
      <w:pPr>
        <w:pStyle w:val="ListParagraph"/>
        <w:numPr>
          <w:ilvl w:val="0"/>
          <w:numId w:val="1"/>
        </w:numPr>
        <w:spacing w:after="60"/>
      </w:pPr>
      <w:r>
        <w:t xml:space="preserve">Desired units/hour = 2 units/hour</w:t>
      </w:r>
    </w:p>
    <w:p>
      <w:pPr>
        <w:pStyle w:val="ListParagraph"/>
        <w:numPr>
          <w:ilvl w:val="0"/>
          <w:numId w:val="1"/>
        </w:numPr>
        <w:spacing w:after="60"/>
      </w:pPr>
      <w:r>
        <w:t xml:space="preserve">Concentration = 1 unit/mL</w:t>
      </w:r>
    </w:p>
    <w:p>
      <w:pPr>
        <w:spacing w:after="140"/>
      </w:pPr>
      <w:r>
        <w:t xml:space="preserve">Calculation:</w:t>
      </w:r>
    </w:p>
    <w:p>
      <w:pPr>
        <w:keepLines/>
        <w:shd w:fill="F5F5F5" w:val="clear"/>
        <w:spacing w:after="0" w:line="252"/>
        <w:ind w:left="227" w:right="227"/>
      </w:pPr>
      <w:r>
        <w:rPr>
          <w:rFonts w:ascii="Consolas" w:cs="Consolas" w:eastAsia="Consolas" w:hAnsi="Consolas"/>
          <w:sz w:val="17"/>
          <w:szCs w:val="17"/>
        </w:rPr>
        <w:t xml:space="preserve">2 units/hour</w:t>
      </w:r>
    </w:p>
    <w:p>
      <w:pPr>
        <w:keepLines/>
        <w:shd w:fill="F5F5F5" w:val="clear"/>
        <w:spacing w:after="0" w:line="252"/>
        <w:ind w:left="227" w:right="227"/>
      </w:pPr>
      <w:r>
        <w:rPr>
          <w:rFonts w:ascii="Consolas" w:cs="Consolas" w:eastAsia="Consolas" w:hAnsi="Consolas"/>
          <w:sz w:val="17"/>
          <w:szCs w:val="17"/>
        </w:rPr>
        <w:t xml:space="preserve">------------ = 2 mL/hour</w:t>
      </w:r>
    </w:p>
    <w:p>
      <w:pPr>
        <w:keepLines/>
        <w:shd w:fill="F5F5F5" w:val="clear"/>
        <w:spacing w:after="160" w:line="252"/>
        <w:ind w:left="227" w:right="227"/>
      </w:pPr>
      <w:r>
        <w:rPr>
          <w:rFonts w:ascii="Consolas" w:cs="Consolas" w:eastAsia="Consolas" w:hAnsi="Consolas"/>
          <w:sz w:val="17"/>
          <w:szCs w:val="17"/>
        </w:rPr>
        <w:t xml:space="preserve">1 unit/mL</w:t>
      </w:r>
    </w:p>
    <w:p>
      <w:pPr>
        <w:spacing w:after="140"/>
      </w:pPr>
      <w:r>
        <w:t xml:space="preserve">The IV pump should be set to deliver 2 mL/hour.</w:t>
      </w:r>
    </w:p>
    <w:p>
      <w:pPr>
        <w:spacing w:after="140"/>
      </w:pPr>
      <w:r>
        <w:t xml:space="preserve">These calculations are performed by licensed nurses or pharmacists. Your role is to understand the concept of accuracy and to report any discrepancies or concerns immediately. Always double-check calculations and seek assistance if you are unsure. Medication safety is a team effort.</w:t>
      </w:r>
    </w:p>
    <w:p>
      <w:pPr>
        <w:pStyle w:val="Heading3"/>
      </w:pPr>
      <w:r>
        <w:t xml:space="preserve">Key Takeaways</w:t>
      </w:r>
    </w:p>
    <w:p>
      <w:pPr>
        <w:pStyle w:val="ListParagraph"/>
        <w:numPr>
          <w:ilvl w:val="0"/>
          <w:numId w:val="1"/>
        </w:numPr>
        <w:spacing w:after="60"/>
      </w:pPr>
      <w:r>
        <w:t xml:space="preserve">Medications are administered through various routes, including oral, buccal, topical, and parenteral, each with specific techniques and considerations.</w:t>
      </w:r>
    </w:p>
    <w:p>
      <w:pPr>
        <w:pStyle w:val="ListParagraph"/>
        <w:numPr>
          <w:ilvl w:val="0"/>
          <w:numId w:val="1"/>
        </w:numPr>
        <w:spacing w:after="60"/>
      </w:pPr>
      <w:r>
        <w:t xml:space="preserve">Oral liquid medications require precise measurement at eye level, and solid medications should only be split or crushed if explicitly ordered and appropriate for the drug form.</w:t>
      </w:r>
    </w:p>
    <w:p>
      <w:pPr>
        <w:pStyle w:val="ListParagraph"/>
        <w:numPr>
          <w:ilvl w:val="0"/>
          <w:numId w:val="1"/>
        </w:numPr>
        <w:spacing w:after="60"/>
      </w:pPr>
      <w:r>
        <w:t xml:space="preserve">Buccal medications are placed between the cheek and gum to dissolve slowly, and the individual should not eat or drink until absorption is complete.</w:t>
      </w:r>
    </w:p>
    <w:p>
      <w:pPr>
        <w:pStyle w:val="ListParagraph"/>
        <w:numPr>
          <w:ilvl w:val="0"/>
          <w:numId w:val="1"/>
        </w:numPr>
        <w:spacing w:after="60"/>
      </w:pPr>
      <w:r>
        <w:t xml:space="preserve">Injecting air into a medication vial helps equalize pressure for easier and more accurate withdrawal of liquid medication.</w:t>
      </w:r>
    </w:p>
    <w:p>
      <w:pPr>
        <w:pStyle w:val="ListParagraph"/>
        <w:numPr>
          <w:ilvl w:val="0"/>
          <w:numId w:val="1"/>
        </w:numPr>
        <w:spacing w:after="60"/>
      </w:pPr>
      <w:r>
        <w:t xml:space="preserve">Aides and caregivers do not administer IV medications, but they must observe IV sites for signs of complications like redness, swelling, pain, or leakage and report them to a nurse.</w:t>
      </w:r>
    </w:p>
    <w:p>
      <w:pPr>
        <w:pStyle w:val="ListParagraph"/>
        <w:numPr>
          <w:ilvl w:val="0"/>
          <w:numId w:val="1"/>
        </w:numPr>
        <w:spacing w:after="60"/>
      </w:pPr>
      <w:r>
        <w:t xml:space="preserve">The 'Desired Over Have' method is a fundamental formula for calculating medication dosages for tablets, liquids, and weight-based orders.</w:t>
      </w:r>
    </w:p>
    <w:p>
      <w:pPr>
        <w:pStyle w:val="ListParagraph"/>
        <w:numPr>
          <w:ilvl w:val="0"/>
          <w:numId w:val="1"/>
        </w:numPr>
        <w:spacing w:after="60"/>
      </w:pPr>
      <w:r>
        <w:t xml:space="preserve">Accurate dosage calculation is essential for patient safety, and any uncertainty regarding medication orders or calculations should always be clarified with a licensed professional.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correct technique for measuring a liquid oral medication.</w:t>
      </w:r>
    </w:p>
    <w:p>
      <w:pPr>
        <w:spacing w:after="60"/>
      </w:pPr>
      <w:r>
        <w:t xml:space="preserve">2. </w:t>
      </w:r>
      <w:r>
        <w:t xml:space="preserve">What is the purpose of injecting air into a medication vial before withdrawing the liquid?</w:t>
      </w:r>
    </w:p>
    <w:p>
      <w:pPr>
        <w:spacing w:after="60"/>
      </w:pPr>
      <w:r>
        <w:t xml:space="preserve">3. </w:t>
      </w:r>
      <w:r>
        <w:t xml:space="preserve">An order specifies medication A 250 mg. The available tablets are 125 mg each. How many tablets should be administered?</w:t>
      </w:r>
    </w:p>
    <w:p>
      <w:pPr>
        <w:spacing w:after="60"/>
      </w:pPr>
      <w:r>
        <w:t xml:space="preserve">4. </w:t>
      </w:r>
      <w:r>
        <w:t xml:space="preserve">List three signs of a potential complication at an IV site that an aide or caregiver should report to a nurse.</w:t>
      </w:r>
    </w:p>
    <w:p>
      <w:pPr>
        <w:spacing w:after="60"/>
      </w:pPr>
      <w:r>
        <w:t xml:space="preserve">5. </w:t>
      </w:r>
      <w:r>
        <w:t xml:space="preserve">Explain why it is generally unsafe to crush or split extended-release or enteric-coated medications.</w:t>
      </w:r>
    </w:p>
    <w:p>
      <w:pPr>
        <w:pStyle w:val="Heading1"/>
        <w:pageBreakBefore/>
      </w:pPr>
      <w:r>
        <w:t xml:space="preserve">Chapter 2: Intravenous Basics and Medication Label Comprehension</w:t>
      </w:r>
    </w:p>
    <w:p>
      <w:pPr>
        <w:spacing w:after="140"/>
      </w:pPr>
      <w:r>
        <w:t xml:space="preserve">This chapter introduces fundamental aspects of intravenous (IV) therapy and the essential skill of reading medication labels. While aides and caregivers do not administer medications or start IVs, understanding these topics is crucial for providing effective support, observing patients, and communicating accurately with nurses and other healthcare professionals.</w:t>
      </w:r>
    </w:p>
    <w:p>
      <w:pPr>
        <w:spacing w:after="140"/>
      </w:pPr>
      <w:r>
        <w:t xml:space="preserve">By studying this chapter, you will gain insight into how IVs work, what supplies are used, and what to watch for when a patient has an IV. You will also learn to identify and interpret critical information on medication labels, a key step in ensuring medication safety and adherence within your scope of practice.</w:t>
      </w:r>
    </w:p>
    <w:p>
      <w:pPr>
        <w:pStyle w:val="Heading2"/>
      </w:pPr>
      <w:r>
        <w:t xml:space="preserve">Understanding Intravenous (IV) Access and Its Care</w:t>
      </w:r>
    </w:p>
    <w:p>
      <w:pPr>
        <w:spacing w:after="120"/>
      </w:pPr>
      <w:r>
        <w:rPr>
          <w:rFonts w:ascii="Arial" w:cs="Arial" w:eastAsia="Arial" w:hAnsi="Arial"/>
          <w:color w:val="666666"/>
          <w:sz w:val="15"/>
          <w:szCs w:val="15"/>
        </w:rPr>
        <w:t xml:space="preserve">Covers: How to Start an IV | IV Catheter Insertion &amp; Flush Technique in Hand | Nursing Skill (video, 8 min) · Assessing Veins When Starting an IV Catheter | Finding Veins &amp; Tourniquet Nursing Skill (video, 5 min) · How to Prepare for an IV Insertion | Intravenous Catheter Supplies Setup Nursing Skill (video, 5 min) · How to Remove an IV Catheter (Discontinue Peripheral IV in Dorsum of Hand) Nursing Skill (video, 3 min) · Keep Missing Veins When Starting IVs? | Nurse, Phlebotomist Venipuncture Tips (video, 10 min)</w:t>
      </w:r>
    </w:p>
    <w:p>
      <w:pPr>
        <w:spacing w:after="140"/>
      </w:pPr>
      <w:r>
        <w:t xml:space="preserve">Intravenous (IV) access provides a direct pathway into a patient's vein, allowing for the delivery of fluids, medications, or nutrients. As an aide, you will not be starting IVs, but you will often care for patients who have them. Understanding the process helps you support the patient and recognize potential issues. The process begins with identifying a suitable vein. Nurses look for veins that are visible, palpable (can be felt), and straight, often in the hand or arm. They might use a tourniquet to make veins more prominent. Good vein assessment is a skill developed with practice, and sometimes veins are difficult to find, requiring careful technique.</w:t>
      </w:r>
    </w:p>
    <w:p>
      <w:pPr>
        <w:spacing w:after="140"/>
      </w:pPr>
      <w:r>
        <w:t xml:space="preserve">Before an IV is inserted, the nurse gathers specific supplies. These typically include an IV catheter (a small, flexible tube with a needle inside), antiseptic wipes (like chlorhexidine or alcohol), a tourniquet, tape, a transparent dressing, and a flush syringe (usually pre-filled with saline). All supplies must be sterile to prevent infection. The nurse will prepare the site by cleaning it thoroughly and allowing it to dry. The insertion itself involves the nurse inserting the needle and catheter into the vein, then advancing the catheter while withdrawing the needle. Once the catheter is in place, the needle is fully removed, and a cap or extension set is attached to the catheter, often followed by a saline flush to ensure the line is patent (open and clear).</w:t>
      </w:r>
    </w:p>
    <w:p>
      <w:pPr>
        <w:spacing w:after="140"/>
      </w:pPr>
      <w:r>
        <w:t xml:space="preserve">For the patient, IV insertion can cause a brief pinch or sting. After insertion, the site should be free from excessive pain, swelling, or redness. As an aide, you should observe the IV site regularly. Report any new pain, tenderness, swelling, redness, warmth, coolness, or leakage around the site to the nurse immediately. These could indicate complications such as infiltration (fluid leaking into surrounding tissue), phlebitis (inflammation of the vein), or infection. The IV catheter is then secured with tape and a transparent dressing. This dressing helps to hold the catheter in place and protects the site from contamination. You should ensure the dressing remains clean, dry, and intact. If it becomes loose, wet, or dirty, report it to the nurse. When an IV is no longer needed, a nurse will remove it. This involves carefully peeling back the dressing and tape, withdrawing the catheter, and applying pressure to the site with gauze to prevent bleeding. A small bandage is then applied. Observing these steps helps you understand the full cycle of IV care, enabling you to better assist patients and report relevant observations to the nursing staff.</w:t>
      </w:r>
    </w:p>
    <w:p>
      <w:pPr>
        <w:pStyle w:val="Heading2"/>
      </w:pPr>
      <w:r>
        <w:t xml:space="preserve">Securing and Maintaining an IV Line</w:t>
      </w:r>
    </w:p>
    <w:p>
      <w:pPr>
        <w:spacing w:after="120"/>
      </w:pPr>
      <w:r>
        <w:rPr>
          <w:rFonts w:ascii="Arial" w:cs="Arial" w:eastAsia="Arial" w:hAnsi="Arial"/>
          <w:color w:val="666666"/>
          <w:sz w:val="15"/>
          <w:szCs w:val="15"/>
        </w:rPr>
        <w:t xml:space="preserve">Covers: How to Secure an IV with Tape Dressing Kit | Nursing Skills (video, 3 min) · IV Flush: How to Flush an IV Line (Cannula, Catheter) Saline Lock Nursing Skill (video, 5 min)</w:t>
      </w:r>
    </w:p>
    <w:p>
      <w:pPr>
        <w:spacing w:after="140"/>
      </w:pPr>
      <w:r>
        <w:t xml:space="preserve">Once an IV catheter is successfully placed, securing it properly is vital to prevent dislodgement and reduce the risk of infection. Nurses use specific techniques and materials, often a pre-packaged tape and dressing kit, to achieve this. The primary goal is to stabilize the catheter so it does not move within the vein, which could cause pain, damage the vein, or lead to complications. The dressing typically consists of a sterile, transparent film that covers the insertion site. This allows for continuous visual inspection of the site without removing the dressing. Tape is used to further secure the IV tubing or extension set, creating a 'loop' or 'chevron' pattern to minimize tension on the catheter itself.</w:t>
      </w:r>
    </w:p>
    <w:p>
      <w:pPr>
        <w:spacing w:after="140"/>
      </w:pPr>
      <w:r>
        <w:t xml:space="preserve">As an aide, your role involves observing the integrity of this dressing and the security of the IV line. Check that the dressing is clean, dry, and firmly adhered to the skin. If you notice the dressing is peeling, wet, soiled, or if the catheter appears to be pulling out, report this to the nurse immediately. Never attempt to re-tape or adjust an IV dressing yourself. The securement is critical; a dislodged IV can cause bleeding, pain, and require a new insertion.</w:t>
      </w:r>
    </w:p>
    <w:p>
      <w:pPr>
        <w:spacing w:after="140"/>
      </w:pPr>
      <w:r>
        <w:t xml:space="preserve">Another routine aspect of IV care is flushing the line, particularly for a 'saline lock' or 'heparin lock' (an IV catheter that is capped off and not continuously infusing fluids). An IV flush involves injecting a small amount of sterile saline solution into the catheter. This is done to keep the catheter clear and prevent blood clots from forming inside, which could block the line and prevent future medication or fluid delivery. Nurses perform IV flushes at regular intervals, often every 8 to 12 hours, or before and after administering medications through the line. They use a specific technique, often a 'push-pause' method, to create turbulence that helps clear the line effectively. During a flush, the nurse will also assess for any resistance when pushing the saline, or if the patient experiences pain, swelling, or leakage at the site. These signs could indicate a problem with the IV, such as a clot or infiltration. Your awareness of these procedures helps you understand why nurses perform these tasks and enables you to assist by reporting patient complaints or visible issues during such procedures. Remember, maintaining a patent and secure IV line is essential for patient safety and effective treatment.</w:t>
      </w:r>
    </w:p>
    <w:p>
      <w:pPr>
        <w:pStyle w:val="Heading2"/>
      </w:pPr>
      <w:r>
        <w:t xml:space="preserve">Interpreting Medication Labels for Safety and Adherence</w:t>
      </w:r>
    </w:p>
    <w:p>
      <w:pPr>
        <w:spacing w:after="120"/>
      </w:pPr>
      <w:r>
        <w:rPr>
          <w:rFonts w:ascii="Arial" w:cs="Arial" w:eastAsia="Arial" w:hAnsi="Arial"/>
          <w:color w:val="666666"/>
          <w:sz w:val="15"/>
          <w:szCs w:val="15"/>
        </w:rPr>
        <w:t xml:space="preserve">Covers: How to Read a Medication Label Nursing Skill - Medication Administration Pharmacology Review (video, 14 min)</w:t>
      </w:r>
    </w:p>
    <w:p>
      <w:pPr>
        <w:spacing w:after="140"/>
      </w:pPr>
      <w:r>
        <w:t xml:space="preserve">Understanding medication labels is a fundamental skill for anyone assisting with medication management, including aides and caregivers. Every medication container, whether a prescription bottle or an over-the-counter package, carries crucial information that ensures the medication is used safely and effectively. Accurately reading and interpreting this information helps prevent errors and supports patient adherence to their prescribed regimen.</w:t>
      </w:r>
    </w:p>
    <w:p>
      <w:pPr>
        <w:spacing w:after="140"/>
      </w:pPr>
      <w:r>
        <w:t xml:space="preserve">Key components of a medication label include:</w:t>
      </w:r>
    </w:p>
    <w:p>
      <w:pPr>
        <w:pStyle w:val="ListParagraph"/>
        <w:numPr>
          <w:ilvl w:val="0"/>
          <w:numId w:val="1"/>
        </w:numPr>
        <w:spacing w:after="60"/>
      </w:pPr>
      <w:r>
        <w:rPr>
          <w:b/>
          <w:bCs/>
        </w:rPr>
        <w:t xml:space="preserve">Patient's Name:</w:t>
      </w:r>
      <w:r>
        <w:t xml:space="preserve"> Always verify this first to ensure the medication belongs to the correct person. This is a critical step in the 'Rights of Medication Safety' (Right Patient).</w:t>
      </w:r>
    </w:p>
    <w:p>
      <w:pPr>
        <w:pStyle w:val="ListParagraph"/>
        <w:numPr>
          <w:ilvl w:val="0"/>
          <w:numId w:val="1"/>
        </w:numPr>
        <w:spacing w:after="60"/>
      </w:pPr>
      <w:r>
        <w:rPr>
          <w:b/>
          <w:bCs/>
        </w:rPr>
        <w:t xml:space="preserve">Medication Name:</w:t>
      </w:r>
      <w:r>
        <w:t xml:space="preserve"> Labels typically list both the brand name (e.g., Tylenol) and the generic name (e.g., Acetaminophen). Knowing both can help avoid confusion, especially if a patient receives medications from different pharmacies or prescribers.</w:t>
      </w:r>
    </w:p>
    <w:p>
      <w:pPr>
        <w:pStyle w:val="ListParagraph"/>
        <w:numPr>
          <w:ilvl w:val="0"/>
          <w:numId w:val="1"/>
        </w:numPr>
        <w:spacing w:after="60"/>
      </w:pPr>
      <w:r>
        <w:rPr>
          <w:b/>
          <w:bCs/>
        </w:rPr>
        <w:t xml:space="preserve">Dosage:</w:t>
      </w:r>
      <w:r>
        <w:t xml:space="preserve"> This specifies the amount of medication in each unit (e.g., 250 mg per tablet, 10 mL of liquid). It is essential for ensuring the correct quantity is taken. For example, a doctor might prescribe '250 mg' but the bottle contains '500 mg tablets,' meaning the patient should take half a tablet.</w:t>
      </w:r>
    </w:p>
    <w:p>
      <w:pPr>
        <w:pStyle w:val="ListParagraph"/>
        <w:numPr>
          <w:ilvl w:val="0"/>
          <w:numId w:val="1"/>
        </w:numPr>
        <w:spacing w:after="60"/>
      </w:pPr>
      <w:r>
        <w:rPr>
          <w:b/>
          <w:bCs/>
        </w:rPr>
        <w:t xml:space="preserve">Route of Administration:</w:t>
      </w:r>
      <w:r>
        <w:t xml:space="preserve"> This indicates how the medication should be taken (e.g., 'oral' for by mouth, 'topical' for on the skin, 'otic' for in the ear). Administering a medication via the wrong route can be ineffective or dangerous.</w:t>
      </w:r>
    </w:p>
    <w:p>
      <w:pPr>
        <w:pStyle w:val="ListParagraph"/>
        <w:numPr>
          <w:ilvl w:val="0"/>
          <w:numId w:val="1"/>
        </w:numPr>
        <w:spacing w:after="60"/>
      </w:pPr>
      <w:r>
        <w:rPr>
          <w:b/>
          <w:bCs/>
        </w:rPr>
        <w:t xml:space="preserve">Frequency and Timing:</w:t>
      </w:r>
      <w:r>
        <w:t xml:space="preserve"> This details how often and when the medication should be taken (e.g., 'twice daily,' 'every 8 hours,' 'with food,' 'at bedtime'). Following these instructions is vital for maintaining therapeutic levels of the drug in the body and managing side effects.</w:t>
      </w:r>
    </w:p>
    <w:p>
      <w:pPr>
        <w:pStyle w:val="ListParagraph"/>
        <w:numPr>
          <w:ilvl w:val="0"/>
          <w:numId w:val="1"/>
        </w:numPr>
        <w:spacing w:after="60"/>
      </w:pPr>
      <w:r>
        <w:rPr>
          <w:b/>
          <w:bCs/>
        </w:rPr>
        <w:t xml:space="preserve">Expiration Date:</w:t>
      </w:r>
      <w:r>
        <w:t xml:space="preserve"> Always check this. Expired medications may lose potency or even become harmful. Never use medication past its expiration date.</w:t>
      </w:r>
    </w:p>
    <w:p>
      <w:pPr>
        <w:pStyle w:val="ListParagraph"/>
        <w:numPr>
          <w:ilvl w:val="0"/>
          <w:numId w:val="1"/>
        </w:numPr>
        <w:spacing w:after="60"/>
      </w:pPr>
      <w:r>
        <w:rPr>
          <w:b/>
          <w:bCs/>
        </w:rPr>
        <w:t xml:space="preserve">Warnings and Precautions:</w:t>
      </w:r>
      <w:r>
        <w:t xml:space="preserve"> Labels often include warnings about potential side effects, interactions with other drugs or foods, or specific conditions (e.g., 'May cause drowsiness,' 'Do not take with alcohol,' 'Take with food').</w:t>
      </w:r>
    </w:p>
    <w:p>
      <w:pPr>
        <w:pStyle w:val="ListParagraph"/>
        <w:numPr>
          <w:ilvl w:val="0"/>
          <w:numId w:val="1"/>
        </w:numPr>
        <w:spacing w:after="60"/>
      </w:pPr>
      <w:r>
        <w:rPr>
          <w:b/>
          <w:bCs/>
        </w:rPr>
        <w:t xml:space="preserve">Storage Instructions:</w:t>
      </w:r>
      <w:r>
        <w:t xml:space="preserve"> Some medications require specific storage conditions, such as refrigeration or protection from light. Improper storage can degrade the medication.</w:t>
      </w:r>
    </w:p>
    <w:p>
      <w:pPr>
        <w:spacing w:after="140"/>
      </w:pPr>
      <w:r>
        <w:t xml:space="preserve">As an aide, you might verify these details when helping a patient prepare their medications or when organizing a medication cabinet. For example, if a patient is prescribed 'Medication X, 1 tablet by mouth twice daily,' you would check the label to confirm it is indeed 'Medication X,' the correct dosage per tablet, and that the instructions match 'twice daily' and 'oral' route. If any discrepancy is found, or if you have any doubt, always consult with a nurse or pharmacist before the medication is taken. Your careful attention to medication labels is a cornerstone of patient safety and plays a significant role in preventing medication errors.</w:t>
      </w:r>
    </w:p>
    <w:p>
      <w:pPr>
        <w:pStyle w:val="Heading3"/>
      </w:pPr>
      <w:r>
        <w:t xml:space="preserve">Key Takeaways</w:t>
      </w:r>
    </w:p>
    <w:p>
      <w:pPr>
        <w:pStyle w:val="ListParagraph"/>
        <w:numPr>
          <w:ilvl w:val="0"/>
          <w:numId w:val="1"/>
        </w:numPr>
        <w:spacing w:after="60"/>
      </w:pPr>
      <w:r>
        <w:t xml:space="preserve">Intravenous (IV) access delivers fluids or medications directly into a patient's vein.</w:t>
      </w:r>
    </w:p>
    <w:p>
      <w:pPr>
        <w:pStyle w:val="ListParagraph"/>
        <w:numPr>
          <w:ilvl w:val="0"/>
          <w:numId w:val="1"/>
        </w:numPr>
        <w:spacing w:after="60"/>
      </w:pPr>
      <w:r>
        <w:t xml:space="preserve">Aides must observe IV sites for signs of complications like swelling, redness, pain, or leakage and report them to a nurse immediately.</w:t>
      </w:r>
    </w:p>
    <w:p>
      <w:pPr>
        <w:pStyle w:val="ListParagraph"/>
        <w:numPr>
          <w:ilvl w:val="0"/>
          <w:numId w:val="1"/>
        </w:numPr>
        <w:spacing w:after="60"/>
      </w:pPr>
      <w:r>
        <w:t xml:space="preserve">Properly securing an IV catheter with a sterile dressing is crucial to prevent dislodgement and infection.</w:t>
      </w:r>
    </w:p>
    <w:p>
      <w:pPr>
        <w:pStyle w:val="ListParagraph"/>
        <w:numPr>
          <w:ilvl w:val="0"/>
          <w:numId w:val="1"/>
        </w:numPr>
        <w:spacing w:after="60"/>
      </w:pPr>
      <w:r>
        <w:t xml:space="preserve">An IV flush uses sterile saline to keep the catheter clear and prevent clots, especially in saline lock lines.</w:t>
      </w:r>
    </w:p>
    <w:p>
      <w:pPr>
        <w:pStyle w:val="ListParagraph"/>
        <w:numPr>
          <w:ilvl w:val="0"/>
          <w:numId w:val="1"/>
        </w:numPr>
        <w:spacing w:after="60"/>
      </w:pPr>
      <w:r>
        <w:t xml:space="preserve">Accurately reading a medication label is essential for ensuring the right medication is given to the right patient at the right dose, route, and time.</w:t>
      </w:r>
    </w:p>
    <w:p>
      <w:pPr>
        <w:pStyle w:val="ListParagraph"/>
        <w:numPr>
          <w:ilvl w:val="0"/>
          <w:numId w:val="1"/>
        </w:numPr>
        <w:spacing w:after="60"/>
      </w:pPr>
      <w:r>
        <w:t xml:space="preserve">Key information on a medication label includes the patient's name, medication name, dosage, route, frequency, and expiration date.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an intravenous (IV) line?</w:t>
      </w:r>
    </w:p>
    <w:p>
      <w:pPr>
        <w:spacing w:after="60"/>
      </w:pPr>
      <w:r>
        <w:t xml:space="preserve">2. </w:t>
      </w:r>
      <w:r>
        <w:t xml:space="preserve">As an aide, what are three signs you should watch for at a patient's IV site?</w:t>
      </w:r>
    </w:p>
    <w:p>
      <w:pPr>
        <w:spacing w:after="60"/>
      </w:pPr>
      <w:r>
        <w:t xml:space="preserve">3. </w:t>
      </w:r>
      <w:r>
        <w:t xml:space="preserve">Why is it important for an IV line to be properly secured with a dressing?</w:t>
      </w:r>
    </w:p>
    <w:p>
      <w:pPr>
        <w:spacing w:after="60"/>
      </w:pPr>
      <w:r>
        <w:t xml:space="preserve">4. </w:t>
      </w:r>
      <w:r>
        <w:t xml:space="preserve">What is an IV flush, and why is it performed?</w:t>
      </w:r>
    </w:p>
    <w:p>
      <w:pPr>
        <w:spacing w:after="60"/>
      </w:pPr>
      <w:r>
        <w:t xml:space="preserve">5. </w:t>
      </w:r>
      <w:r>
        <w:t xml:space="preserve">List three critical pieces of information you should always verify on a medication label.</w:t>
      </w:r>
    </w:p>
    <w:p>
      <w:pPr>
        <w:spacing w:after="60"/>
      </w:pPr>
      <w:r>
        <w:t xml:space="preserve">6. </w:t>
      </w:r>
      <w:r>
        <w:t xml:space="preserve">Why is understanding medication labels important for an aide's role in supporting medication adherence?</w:t>
      </w:r>
    </w:p>
    <w:p>
      <w:pPr>
        <w:pStyle w:val="Heading1"/>
        <w:pageBreakBefore/>
      </w:pPr>
      <w:r>
        <w:t xml:space="preserve">Chapter 3: Medication Administration: Rights, Routes, and Preparation</w:t>
      </w:r>
    </w:p>
    <w:p>
      <w:pPr>
        <w:spacing w:after="140"/>
      </w:pPr>
      <w:r>
        <w:t xml:space="preserve">This chapter is your essential guide to understanding the core principles of medication safety and practical skills for handling medications. We will cover the fundamental 'Rights' that ensure safe medication practices, decipher common medical abbreviations and routes of administration, and walk through the proper techniques for preparing medications from vials and ampules. Finally, we will examine a specific class of high-risk medications, barbiturates, to highlight the critical importance of vigilance and recognizing potential red flags. Mastering this material will equip you to support medication management safely and effectively within your scope of practice, enhancing the well-being of those in your care.</w:t>
      </w:r>
    </w:p>
    <w:p>
      <w:pPr>
        <w:pStyle w:val="Heading2"/>
      </w:pPr>
      <w:r>
        <w:t xml:space="preserve">The Rights of Medication Safety and Understanding Orders</w:t>
      </w:r>
    </w:p>
    <w:p>
      <w:pPr>
        <w:spacing w:after="120"/>
      </w:pPr>
      <w:r>
        <w:rPr>
          <w:rFonts w:ascii="Arial" w:cs="Arial" w:eastAsia="Arial" w:hAnsi="Arial"/>
          <w:color w:val="666666"/>
          <w:sz w:val="15"/>
          <w:szCs w:val="15"/>
        </w:rPr>
        <w:t xml:space="preserve">Covers: Rights of Medication Administration in Nursing (5, 6, 7, 9, 10, 12) NCLEX Review · Medication Abbreviations Frequencies/Orders | Medical Terminology | Nursing NCLEX Review · Medication Routes of Administration and Medical Abbreviations | Nursing NCLEX Review</w:t>
      </w:r>
    </w:p>
    <w:p>
      <w:pPr>
        <w:spacing w:after="140"/>
      </w:pPr>
      <w:r>
        <w:t xml:space="preserve">Ensuring medication safety is paramount in any caregiving role. The foundation of this safety lies in consistently following the 'Rights of Medication Administration.' While the exact number of rights taught may vary (from 5 to 12), understanding the core principles behind each one is crucial. These rights act as a checklist to prevent errors and protect the patient.</w:t>
      </w:r>
    </w:p>
    <w:p>
      <w:pPr>
        <w:pStyle w:val="Heading4"/>
        <w:spacing w:after="80" w:before="200"/>
      </w:pPr>
      <w:r>
        <w:t xml:space="preserve">The Core Rights of Medication Administration</w:t>
      </w:r>
    </w:p>
    <w:p>
      <w:pPr>
        <w:pStyle w:val="ListParagraph"/>
        <w:numPr>
          <w:ilvl w:val="0"/>
          <w:numId w:val="2"/>
        </w:numPr>
        <w:spacing w:after="60"/>
      </w:pPr>
      <w:r>
        <w:rPr>
          <w:b/>
          <w:bCs/>
        </w:rPr>
        <w:t xml:space="preserve">Right Patient</w:t>
      </w:r>
      <w:r>
        <w:t xml:space="preserve">: Always verify the patient's identity using at least two identifiers, such as their name and date of birth. This prevents giving medication to the wrong person.</w:t>
      </w:r>
    </w:p>
    <w:p>
      <w:pPr>
        <w:pStyle w:val="ListParagraph"/>
        <w:numPr>
          <w:ilvl w:val="0"/>
          <w:numId w:val="2"/>
        </w:numPr>
        <w:spacing w:after="60"/>
      </w:pPr>
      <w:r>
        <w:rPr>
          <w:b/>
          <w:bCs/>
        </w:rPr>
        <w:t xml:space="preserve">Right Drug</w:t>
      </w:r>
      <w:r>
        <w:t xml:space="preserve">: Confirm the medication name on the label matches the order. Read the label carefully, checking it three times: when retrieving the medication, before preparing it, and before administering it.</w:t>
      </w:r>
    </w:p>
    <w:p>
      <w:pPr>
        <w:pStyle w:val="ListParagraph"/>
        <w:numPr>
          <w:ilvl w:val="0"/>
          <w:numId w:val="2"/>
        </w:numPr>
        <w:spacing w:after="60"/>
      </w:pPr>
      <w:r>
        <w:rPr>
          <w:b/>
          <w:bCs/>
        </w:rPr>
        <w:t xml:space="preserve">Right Dose</w:t>
      </w:r>
      <w:r>
        <w:t xml:space="preserve">: Ensure the amount of medication is correct. This may involve calculations. If you are unsure, always ask a nurse or pharmacist for clarification.</w:t>
      </w:r>
    </w:p>
    <w:p>
      <w:pPr>
        <w:pStyle w:val="ListParagraph"/>
        <w:numPr>
          <w:ilvl w:val="0"/>
          <w:numId w:val="2"/>
        </w:numPr>
        <w:spacing w:after="60"/>
      </w:pPr>
      <w:r>
        <w:rPr>
          <w:b/>
          <w:bCs/>
        </w:rPr>
        <w:t xml:space="preserve">Right Route</w:t>
      </w:r>
      <w:r>
        <w:t xml:space="preserve">: Medications are designed for specific routes (e.g., oral, topical, injection). Administering a medication via the wrong route can be ineffective or dangerous.</w:t>
      </w:r>
    </w:p>
    <w:p>
      <w:pPr>
        <w:pStyle w:val="ListParagraph"/>
        <w:numPr>
          <w:ilvl w:val="0"/>
          <w:numId w:val="2"/>
        </w:numPr>
        <w:spacing w:after="60"/>
      </w:pPr>
      <w:r>
        <w:rPr>
          <w:b/>
          <w:bCs/>
        </w:rPr>
        <w:t xml:space="preserve">Right Time</w:t>
      </w:r>
      <w:r>
        <w:t xml:space="preserve">: Give the medication at the prescribed frequency and time. Adhering to schedules maintains therapeutic levels in the body.</w:t>
      </w:r>
    </w:p>
    <w:p>
      <w:pPr>
        <w:pStyle w:val="ListParagraph"/>
        <w:numPr>
          <w:ilvl w:val="0"/>
          <w:numId w:val="2"/>
        </w:numPr>
        <w:spacing w:after="60"/>
      </w:pPr>
      <w:r>
        <w:rPr>
          <w:b/>
          <w:bCs/>
        </w:rPr>
        <w:t xml:space="preserve">Right Documentation</w:t>
      </w:r>
      <w:r>
        <w:t xml:space="preserve">: Record the medication administration immediately after it is given, including the drug, dose, route, time, and your initials. Also document any patient response or refusal.</w:t>
      </w:r>
    </w:p>
    <w:p>
      <w:pPr>
        <w:pStyle w:val="ListParagraph"/>
        <w:numPr>
          <w:ilvl w:val="0"/>
          <w:numId w:val="2"/>
        </w:numPr>
        <w:spacing w:after="60"/>
      </w:pPr>
      <w:r>
        <w:rPr>
          <w:b/>
          <w:bCs/>
        </w:rPr>
        <w:t xml:space="preserve">Right Reason</w:t>
      </w:r>
      <w:r>
        <w:t xml:space="preserve">: Understand why the patient is receiving this medication. This helps you monitor for expected effects and report unexpected ones.</w:t>
      </w:r>
    </w:p>
    <w:p>
      <w:pPr>
        <w:pStyle w:val="ListParagraph"/>
        <w:numPr>
          <w:ilvl w:val="0"/>
          <w:numId w:val="2"/>
        </w:numPr>
        <w:spacing w:after="60"/>
      </w:pPr>
      <w:r>
        <w:rPr>
          <w:b/>
          <w:bCs/>
        </w:rPr>
        <w:t xml:space="preserve">Right Response</w:t>
      </w:r>
      <w:r>
        <w:t xml:space="preserve">: After administration, monitor the patient for the desired therapeutic effect and any adverse reactions.</w:t>
      </w:r>
    </w:p>
    <w:p>
      <w:pPr>
        <w:pStyle w:val="ListParagraph"/>
        <w:numPr>
          <w:ilvl w:val="0"/>
          <w:numId w:val="2"/>
        </w:numPr>
        <w:spacing w:after="60"/>
      </w:pPr>
      <w:r>
        <w:rPr>
          <w:b/>
          <w:bCs/>
        </w:rPr>
        <w:t xml:space="preserve">Right to Refuse</w:t>
      </w:r>
      <w:r>
        <w:t xml:space="preserve">: Patients have the right to refuse medication. If a patient refuses, document it and notify the nurse.</w:t>
      </w:r>
    </w:p>
    <w:p>
      <w:pPr>
        <w:spacing w:after="140"/>
      </w:pPr>
      <w:r>
        <w:t xml:space="preserve">As an aide or caregiver, your role involves assisting with self-administration, observing, and reporting. You must verify these rights to the best of your ability and always seek clarification if anything seems incorrect or unclear.</w:t>
      </w:r>
    </w:p>
    <w:p>
      <w:pPr>
        <w:pStyle w:val="Heading4"/>
        <w:spacing w:after="80" w:before="200"/>
      </w:pPr>
      <w:r>
        <w:t xml:space="preserve">Understanding Medication Abbreviations</w:t>
      </w:r>
    </w:p>
    <w:p>
      <w:pPr>
        <w:spacing w:after="140"/>
      </w:pPr>
      <w:r>
        <w:t xml:space="preserve">Medication orders often use abbreviations. Knowing these is essential for accurate communication and safety. However, some abbreviations are considered 'dangerous' and should be avoided or clarified, as they can lead to errors. Always clarify any abbreviation you do not understand.</w:t>
      </w:r>
    </w:p>
    <w:p>
      <w:pPr>
        <w:spacing w:after="140"/>
      </w:pPr>
      <w:r>
        <w:t xml:space="preserve">Here are common abbreviations for frequencies and orders:</w:t>
      </w:r>
    </w:p>
    <w:p>
      <w:pPr>
        <w:pStyle w:val="ListParagraph"/>
        <w:numPr>
          <w:ilvl w:val="0"/>
          <w:numId w:val="1"/>
        </w:numPr>
        <w:spacing w:after="60"/>
      </w:pPr>
      <w:r>
        <w:rPr>
          <w:b/>
          <w:bCs/>
        </w:rPr>
        <w:t xml:space="preserve">BID</w:t>
      </w:r>
      <w:r>
        <w:t xml:space="preserve">: Twice a day</w:t>
      </w:r>
    </w:p>
    <w:p>
      <w:pPr>
        <w:pStyle w:val="ListParagraph"/>
        <w:numPr>
          <w:ilvl w:val="0"/>
          <w:numId w:val="1"/>
        </w:numPr>
        <w:spacing w:after="60"/>
      </w:pPr>
      <w:r>
        <w:rPr>
          <w:b/>
          <w:bCs/>
        </w:rPr>
        <w:t xml:space="preserve">TID</w:t>
      </w:r>
      <w:r>
        <w:t xml:space="preserve">: Three times a day</w:t>
      </w:r>
    </w:p>
    <w:p>
      <w:pPr>
        <w:pStyle w:val="ListParagraph"/>
        <w:numPr>
          <w:ilvl w:val="0"/>
          <w:numId w:val="1"/>
        </w:numPr>
        <w:spacing w:after="60"/>
      </w:pPr>
      <w:r>
        <w:rPr>
          <w:b/>
          <w:bCs/>
        </w:rPr>
        <w:t xml:space="preserve">QID</w:t>
      </w:r>
      <w:r>
        <w:t xml:space="preserve">: Four times a day</w:t>
      </w:r>
    </w:p>
    <w:p>
      <w:pPr>
        <w:pStyle w:val="ListParagraph"/>
        <w:numPr>
          <w:ilvl w:val="0"/>
          <w:numId w:val="1"/>
        </w:numPr>
        <w:spacing w:after="60"/>
      </w:pPr>
      <w:r>
        <w:rPr>
          <w:b/>
          <w:bCs/>
        </w:rPr>
        <w:t xml:space="preserve">PRN</w:t>
      </w:r>
      <w:r>
        <w:t xml:space="preserve">: As needed</w:t>
      </w:r>
    </w:p>
    <w:p>
      <w:pPr>
        <w:pStyle w:val="ListParagraph"/>
        <w:numPr>
          <w:ilvl w:val="0"/>
          <w:numId w:val="1"/>
        </w:numPr>
        <w:spacing w:after="60"/>
      </w:pPr>
      <w:r>
        <w:rPr>
          <w:b/>
          <w:bCs/>
        </w:rPr>
        <w:t xml:space="preserve">STAT</w:t>
      </w:r>
      <w:r>
        <w:t xml:space="preserve">: Immediately</w:t>
      </w:r>
    </w:p>
    <w:p>
      <w:pPr>
        <w:pStyle w:val="ListParagraph"/>
        <w:numPr>
          <w:ilvl w:val="0"/>
          <w:numId w:val="1"/>
        </w:numPr>
        <w:spacing w:after="60"/>
      </w:pPr>
      <w:r>
        <w:rPr>
          <w:b/>
          <w:bCs/>
        </w:rPr>
        <w:t xml:space="preserve">AC</w:t>
      </w:r>
      <w:r>
        <w:t xml:space="preserve">: Before meals</w:t>
      </w:r>
    </w:p>
    <w:p>
      <w:pPr>
        <w:pStyle w:val="ListParagraph"/>
        <w:numPr>
          <w:ilvl w:val="0"/>
          <w:numId w:val="1"/>
        </w:numPr>
        <w:spacing w:after="60"/>
      </w:pPr>
      <w:r>
        <w:rPr>
          <w:b/>
          <w:bCs/>
        </w:rPr>
        <w:t xml:space="preserve">PC</w:t>
      </w:r>
      <w:r>
        <w:t xml:space="preserve">: After meals</w:t>
      </w:r>
    </w:p>
    <w:p>
      <w:pPr>
        <w:pStyle w:val="ListParagraph"/>
        <w:numPr>
          <w:ilvl w:val="0"/>
          <w:numId w:val="1"/>
        </w:numPr>
        <w:spacing w:after="60"/>
      </w:pPr>
      <w:r>
        <w:rPr>
          <w:b/>
          <w:bCs/>
        </w:rPr>
        <w:t xml:space="preserve">HS</w:t>
      </w:r>
      <w:r>
        <w:t xml:space="preserve"> or </w:t>
      </w:r>
      <w:r>
        <w:rPr>
          <w:b/>
          <w:bCs/>
        </w:rPr>
        <w:t xml:space="preserve">QHS</w:t>
      </w:r>
      <w:r>
        <w:t xml:space="preserve">: At bedtime</w:t>
      </w:r>
    </w:p>
    <w:p>
      <w:pPr>
        <w:pStyle w:val="ListParagraph"/>
        <w:numPr>
          <w:ilvl w:val="0"/>
          <w:numId w:val="1"/>
        </w:numPr>
        <w:spacing w:after="60"/>
      </w:pPr>
      <w:r>
        <w:rPr>
          <w:b/>
          <w:bCs/>
        </w:rPr>
        <w:t xml:space="preserve">Qam</w:t>
      </w:r>
      <w:r>
        <w:t xml:space="preserve">: Every morning</w:t>
      </w:r>
    </w:p>
    <w:p>
      <w:pPr>
        <w:pStyle w:val="ListParagraph"/>
        <w:numPr>
          <w:ilvl w:val="0"/>
          <w:numId w:val="1"/>
        </w:numPr>
        <w:spacing w:after="60"/>
      </w:pPr>
      <w:r>
        <w:rPr>
          <w:b/>
          <w:bCs/>
        </w:rPr>
        <w:t xml:space="preserve">Qpm</w:t>
      </w:r>
      <w:r>
        <w:t xml:space="preserve">: Every evening</w:t>
      </w:r>
    </w:p>
    <w:p>
      <w:pPr>
        <w:pStyle w:val="ListParagraph"/>
        <w:numPr>
          <w:ilvl w:val="0"/>
          <w:numId w:val="1"/>
        </w:numPr>
        <w:spacing w:after="60"/>
      </w:pPr>
      <w:r>
        <w:rPr>
          <w:b/>
          <w:bCs/>
        </w:rPr>
        <w:t xml:space="preserve">PO</w:t>
      </w:r>
      <w:r>
        <w:t xml:space="preserve">: By mouth (oral)</w:t>
      </w:r>
    </w:p>
    <w:p>
      <w:pPr>
        <w:pStyle w:val="ListParagraph"/>
        <w:numPr>
          <w:ilvl w:val="0"/>
          <w:numId w:val="1"/>
        </w:numPr>
        <w:spacing w:after="60"/>
      </w:pPr>
      <w:r>
        <w:rPr>
          <w:b/>
          <w:bCs/>
        </w:rPr>
        <w:t xml:space="preserve">NPO</w:t>
      </w:r>
      <w:r>
        <w:t xml:space="preserve">: Nothing by mouth</w:t>
      </w:r>
    </w:p>
    <w:p>
      <w:pPr>
        <w:pStyle w:val="ListParagraph"/>
        <w:numPr>
          <w:ilvl w:val="0"/>
          <w:numId w:val="1"/>
        </w:numPr>
        <w:spacing w:after="60"/>
      </w:pPr>
      <w:r>
        <w:rPr>
          <w:b/>
          <w:bCs/>
        </w:rPr>
        <w:t xml:space="preserve">SL</w:t>
      </w:r>
      <w:r>
        <w:t xml:space="preserve">: Sublingual (under the tongue)</w:t>
      </w:r>
    </w:p>
    <w:p>
      <w:pPr>
        <w:pStyle w:val="ListParagraph"/>
        <w:numPr>
          <w:ilvl w:val="0"/>
          <w:numId w:val="1"/>
        </w:numPr>
        <w:spacing w:after="60"/>
      </w:pPr>
      <w:r>
        <w:rPr>
          <w:b/>
          <w:bCs/>
        </w:rPr>
        <w:t xml:space="preserve">IM</w:t>
      </w:r>
      <w:r>
        <w:t xml:space="preserve">: Intramuscular (into the muscle)</w:t>
      </w:r>
    </w:p>
    <w:p>
      <w:pPr>
        <w:pStyle w:val="ListParagraph"/>
        <w:numPr>
          <w:ilvl w:val="0"/>
          <w:numId w:val="1"/>
        </w:numPr>
        <w:spacing w:after="60"/>
      </w:pPr>
      <w:r>
        <w:rPr>
          <w:b/>
          <w:bCs/>
        </w:rPr>
        <w:t xml:space="preserve">SC</w:t>
      </w:r>
      <w:r>
        <w:t xml:space="preserve"> or </w:t>
      </w:r>
      <w:r>
        <w:rPr>
          <w:b/>
          <w:bCs/>
        </w:rPr>
        <w:t xml:space="preserve">SQ</w:t>
      </w:r>
      <w:r>
        <w:t xml:space="preserve">: Subcutaneous (under the skin)</w:t>
      </w:r>
    </w:p>
    <w:p>
      <w:pPr>
        <w:pStyle w:val="ListParagraph"/>
        <w:numPr>
          <w:ilvl w:val="0"/>
          <w:numId w:val="1"/>
        </w:numPr>
        <w:spacing w:after="60"/>
      </w:pPr>
      <w:r>
        <w:rPr>
          <w:b/>
          <w:bCs/>
        </w:rPr>
        <w:t xml:space="preserve">IV</w:t>
      </w:r>
      <w:r>
        <w:t xml:space="preserve">: Intravenous (into the vein)</w:t>
      </w:r>
    </w:p>
    <w:p>
      <w:pPr>
        <w:pStyle w:val="ListParagraph"/>
        <w:numPr>
          <w:ilvl w:val="0"/>
          <w:numId w:val="1"/>
        </w:numPr>
        <w:spacing w:after="60"/>
      </w:pPr>
      <w:r>
        <w:rPr>
          <w:b/>
          <w:bCs/>
        </w:rPr>
        <w:t xml:space="preserve">OD</w:t>
      </w:r>
      <w:r>
        <w:t xml:space="preserve">: Right eye</w:t>
      </w:r>
    </w:p>
    <w:p>
      <w:pPr>
        <w:pStyle w:val="ListParagraph"/>
        <w:numPr>
          <w:ilvl w:val="0"/>
          <w:numId w:val="1"/>
        </w:numPr>
        <w:spacing w:after="60"/>
      </w:pPr>
      <w:r>
        <w:rPr>
          <w:b/>
          <w:bCs/>
        </w:rPr>
        <w:t xml:space="preserve">OS</w:t>
      </w:r>
      <w:r>
        <w:t xml:space="preserve">: Left eye</w:t>
      </w:r>
    </w:p>
    <w:p>
      <w:pPr>
        <w:pStyle w:val="ListParagraph"/>
        <w:numPr>
          <w:ilvl w:val="0"/>
          <w:numId w:val="1"/>
        </w:numPr>
        <w:spacing w:after="60"/>
      </w:pPr>
      <w:r>
        <w:rPr>
          <w:b/>
          <w:bCs/>
        </w:rPr>
        <w:t xml:space="preserve">OU</w:t>
      </w:r>
      <w:r>
        <w:t xml:space="preserve">: Both eyes</w:t>
      </w:r>
    </w:p>
    <w:p>
      <w:pPr>
        <w:pStyle w:val="ListParagraph"/>
        <w:numPr>
          <w:ilvl w:val="0"/>
          <w:numId w:val="1"/>
        </w:numPr>
        <w:spacing w:after="60"/>
      </w:pPr>
      <w:r>
        <w:rPr>
          <w:b/>
          <w:bCs/>
        </w:rPr>
        <w:t xml:space="preserve">AD</w:t>
      </w:r>
      <w:r>
        <w:t xml:space="preserve">: Right ear</w:t>
      </w:r>
    </w:p>
    <w:p>
      <w:pPr>
        <w:pStyle w:val="ListParagraph"/>
        <w:numPr>
          <w:ilvl w:val="0"/>
          <w:numId w:val="1"/>
        </w:numPr>
        <w:spacing w:after="60"/>
      </w:pPr>
      <w:r>
        <w:rPr>
          <w:b/>
          <w:bCs/>
        </w:rPr>
        <w:t xml:space="preserve">AS</w:t>
      </w:r>
      <w:r>
        <w:t xml:space="preserve">: Left ear</w:t>
      </w:r>
    </w:p>
    <w:p>
      <w:pPr>
        <w:pStyle w:val="ListParagraph"/>
        <w:numPr>
          <w:ilvl w:val="0"/>
          <w:numId w:val="1"/>
        </w:numPr>
        <w:spacing w:after="60"/>
      </w:pPr>
      <w:r>
        <w:rPr>
          <w:b/>
          <w:bCs/>
        </w:rPr>
        <w:t xml:space="preserve">AU</w:t>
      </w:r>
      <w:r>
        <w:t xml:space="preserve">: Both ears</w:t>
      </w:r>
    </w:p>
    <w:p>
      <w:pPr>
        <w:pStyle w:val="ListParagraph"/>
        <w:numPr>
          <w:ilvl w:val="0"/>
          <w:numId w:val="1"/>
        </w:numPr>
        <w:spacing w:after="60"/>
      </w:pPr>
      <w:r>
        <w:rPr>
          <w:b/>
          <w:bCs/>
        </w:rPr>
        <w:t xml:space="preserve">gtt</w:t>
      </w:r>
      <w:r>
        <w:t xml:space="preserve">: Drop(s)</w:t>
      </w:r>
    </w:p>
    <w:p>
      <w:pPr>
        <w:pStyle w:val="ListParagraph"/>
        <w:numPr>
          <w:ilvl w:val="0"/>
          <w:numId w:val="1"/>
        </w:numPr>
        <w:spacing w:after="60"/>
      </w:pPr>
      <w:r>
        <w:rPr>
          <w:b/>
          <w:bCs/>
        </w:rPr>
        <w:t xml:space="preserve">mL</w:t>
      </w:r>
      <w:r>
        <w:t xml:space="preserve">: Milliliter</w:t>
      </w:r>
    </w:p>
    <w:p>
      <w:pPr>
        <w:pStyle w:val="ListParagraph"/>
        <w:numPr>
          <w:ilvl w:val="0"/>
          <w:numId w:val="1"/>
        </w:numPr>
        <w:spacing w:after="60"/>
      </w:pPr>
      <w:r>
        <w:rPr>
          <w:b/>
          <w:bCs/>
        </w:rPr>
        <w:t xml:space="preserve">mg</w:t>
      </w:r>
      <w:r>
        <w:t xml:space="preserve">: Milligram</w:t>
      </w:r>
    </w:p>
    <w:p>
      <w:pPr>
        <w:pStyle w:val="ListParagraph"/>
        <w:numPr>
          <w:ilvl w:val="0"/>
          <w:numId w:val="1"/>
        </w:numPr>
        <w:spacing w:after="60"/>
      </w:pPr>
      <w:r>
        <w:rPr>
          <w:b/>
          <w:bCs/>
        </w:rPr>
        <w:t xml:space="preserve">mcg</w:t>
      </w:r>
      <w:r>
        <w:t xml:space="preserve">: Microgram</w:t>
      </w:r>
    </w:p>
    <w:p>
      <w:pPr>
        <w:pStyle w:val="ListParagraph"/>
        <w:numPr>
          <w:ilvl w:val="0"/>
          <w:numId w:val="1"/>
        </w:numPr>
        <w:spacing w:after="60"/>
      </w:pPr>
      <w:r>
        <w:rPr>
          <w:b/>
          <w:bCs/>
        </w:rPr>
        <w:t xml:space="preserve">L</w:t>
      </w:r>
      <w:r>
        <w:t xml:space="preserve">: Liter</w:t>
      </w:r>
    </w:p>
    <w:p>
      <w:pPr>
        <w:pStyle w:val="ListParagraph"/>
        <w:numPr>
          <w:ilvl w:val="0"/>
          <w:numId w:val="1"/>
        </w:numPr>
        <w:spacing w:after="60"/>
      </w:pPr>
      <w:r>
        <w:rPr>
          <w:b/>
          <w:bCs/>
        </w:rPr>
        <w:t xml:space="preserve">tsp</w:t>
      </w:r>
      <w:r>
        <w:t xml:space="preserve">: Teaspoon</w:t>
      </w:r>
    </w:p>
    <w:p>
      <w:pPr>
        <w:pStyle w:val="ListParagraph"/>
        <w:numPr>
          <w:ilvl w:val="0"/>
          <w:numId w:val="1"/>
        </w:numPr>
        <w:spacing w:after="60"/>
      </w:pPr>
      <w:r>
        <w:rPr>
          <w:b/>
          <w:bCs/>
        </w:rPr>
        <w:t xml:space="preserve">tbsp</w:t>
      </w:r>
      <w:r>
        <w:t xml:space="preserve">: Tablespoon</w:t>
      </w:r>
    </w:p>
    <w:p>
      <w:pPr>
        <w:pStyle w:val="Heading4"/>
        <w:spacing w:after="80" w:before="200"/>
      </w:pPr>
      <w:r>
        <w:t xml:space="preserve">Common Medication Routes of Administration</w:t>
      </w:r>
    </w:p>
    <w:p>
      <w:pPr>
        <w:spacing w:after="140"/>
      </w:pPr>
      <w:r>
        <w:t xml:space="preserve">The route of administration determines how a medication enters the body and how quickly it takes effect. Recognizing these routes helps ensure proper administration and understanding of the medication's purpose.</w:t>
      </w:r>
    </w:p>
    <w:p>
      <w:pPr>
        <w:pStyle w:val="ListParagraph"/>
        <w:numPr>
          <w:ilvl w:val="0"/>
          <w:numId w:val="1"/>
        </w:numPr>
        <w:spacing w:after="60"/>
      </w:pPr>
      <w:r>
        <w:rPr>
          <w:b/>
          <w:bCs/>
        </w:rPr>
        <w:t xml:space="preserve">Oral (PO)</w:t>
      </w:r>
      <w:r>
        <w:t xml:space="preserve">: Swallowed, absorbed in the gastrointestinal tract. Most common route.</w:t>
      </w:r>
    </w:p>
    <w:p>
      <w:pPr>
        <w:pStyle w:val="ListParagraph"/>
        <w:numPr>
          <w:ilvl w:val="0"/>
          <w:numId w:val="1"/>
        </w:numPr>
        <w:spacing w:after="60"/>
      </w:pPr>
      <w:r>
        <w:rPr>
          <w:b/>
          <w:bCs/>
        </w:rPr>
        <w:t xml:space="preserve">Sublingual (SL)</w:t>
      </w:r>
      <w:r>
        <w:t xml:space="preserve">: Placed under the tongue to dissolve and be absorbed directly into the bloodstream. Do not swallow.</w:t>
      </w:r>
    </w:p>
    <w:p>
      <w:pPr>
        <w:pStyle w:val="ListParagraph"/>
        <w:numPr>
          <w:ilvl w:val="0"/>
          <w:numId w:val="1"/>
        </w:numPr>
        <w:spacing w:after="60"/>
      </w:pPr>
      <w:r>
        <w:rPr>
          <w:b/>
          <w:bCs/>
        </w:rPr>
        <w:t xml:space="preserve">Buccal</w:t>
      </w:r>
      <w:r>
        <w:t xml:space="preserve">: Placed between the cheek and gum to dissolve. Do not chew or swallow.</w:t>
      </w:r>
    </w:p>
    <w:p>
      <w:pPr>
        <w:pStyle w:val="ListParagraph"/>
        <w:numPr>
          <w:ilvl w:val="0"/>
          <w:numId w:val="1"/>
        </w:numPr>
        <w:spacing w:after="60"/>
      </w:pPr>
      <w:r>
        <w:rPr>
          <w:b/>
          <w:bCs/>
        </w:rPr>
        <w:t xml:space="preserve">Topical</w:t>
      </w:r>
      <w:r>
        <w:t xml:space="preserve">: Applied to the skin for local effect (e.g., creams, ointments).</w:t>
      </w:r>
    </w:p>
    <w:p>
      <w:pPr>
        <w:pStyle w:val="ListParagraph"/>
        <w:numPr>
          <w:ilvl w:val="0"/>
          <w:numId w:val="1"/>
        </w:numPr>
        <w:spacing w:after="60"/>
      </w:pPr>
      <w:r>
        <w:rPr>
          <w:b/>
          <w:bCs/>
        </w:rPr>
        <w:t xml:space="preserve">Transdermal</w:t>
      </w:r>
      <w:r>
        <w:t xml:space="preserve">: Applied to the skin via a patch for systemic absorption over time.</w:t>
      </w:r>
    </w:p>
    <w:p>
      <w:pPr>
        <w:pStyle w:val="ListParagraph"/>
        <w:numPr>
          <w:ilvl w:val="0"/>
          <w:numId w:val="1"/>
        </w:numPr>
        <w:spacing w:after="60"/>
      </w:pPr>
      <w:r>
        <w:rPr>
          <w:b/>
          <w:bCs/>
        </w:rPr>
        <w:t xml:space="preserve">Inhaled</w:t>
      </w:r>
      <w:r>
        <w:t xml:space="preserve">: Breathed into the lungs (e.g., inhalers, nebulizers).</w:t>
      </w:r>
    </w:p>
    <w:p>
      <w:pPr>
        <w:pStyle w:val="ListParagraph"/>
        <w:numPr>
          <w:ilvl w:val="0"/>
          <w:numId w:val="1"/>
        </w:numPr>
        <w:spacing w:after="60"/>
      </w:pPr>
      <w:r>
        <w:rPr>
          <w:b/>
          <w:bCs/>
        </w:rPr>
        <w:t xml:space="preserve">Ophthalmic</w:t>
      </w:r>
      <w:r>
        <w:t xml:space="preserve">: Applied to the eye (e.g., eye drops).</w:t>
      </w:r>
    </w:p>
    <w:p>
      <w:pPr>
        <w:pStyle w:val="ListParagraph"/>
        <w:numPr>
          <w:ilvl w:val="0"/>
          <w:numId w:val="1"/>
        </w:numPr>
        <w:spacing w:after="60"/>
      </w:pPr>
      <w:r>
        <w:rPr>
          <w:b/>
          <w:bCs/>
        </w:rPr>
        <w:t xml:space="preserve">Otic</w:t>
      </w:r>
      <w:r>
        <w:t xml:space="preserve">: Applied to the ear (e.g., ear drops).</w:t>
      </w:r>
    </w:p>
    <w:p>
      <w:pPr>
        <w:pStyle w:val="ListParagraph"/>
        <w:numPr>
          <w:ilvl w:val="0"/>
          <w:numId w:val="1"/>
        </w:numPr>
        <w:spacing w:after="60"/>
      </w:pPr>
      <w:r>
        <w:rPr>
          <w:b/>
          <w:bCs/>
        </w:rPr>
        <w:t xml:space="preserve">Nasal</w:t>
      </w:r>
      <w:r>
        <w:t xml:space="preserve">: Sprayed or instilled into the nose.</w:t>
      </w:r>
    </w:p>
    <w:p>
      <w:pPr>
        <w:pStyle w:val="ListParagraph"/>
        <w:numPr>
          <w:ilvl w:val="0"/>
          <w:numId w:val="1"/>
        </w:numPr>
        <w:spacing w:after="60"/>
      </w:pPr>
      <w:r>
        <w:rPr>
          <w:b/>
          <w:bCs/>
        </w:rPr>
        <w:t xml:space="preserve">Rectal (PR)</w:t>
      </w:r>
      <w:r>
        <w:t xml:space="preserve">: Inserted into the rectum (e.g., suppositories, enemas).</w:t>
      </w:r>
    </w:p>
    <w:p>
      <w:pPr>
        <w:pStyle w:val="ListParagraph"/>
        <w:numPr>
          <w:ilvl w:val="0"/>
          <w:numId w:val="1"/>
        </w:numPr>
        <w:spacing w:after="60"/>
      </w:pPr>
      <w:r>
        <w:rPr>
          <w:b/>
          <w:bCs/>
        </w:rPr>
        <w:t xml:space="preserve">Vaginal</w:t>
      </w:r>
      <w:r>
        <w:t xml:space="preserve">: Inserted into the vagina (e.g., creams, suppositories).</w:t>
      </w:r>
    </w:p>
    <w:p>
      <w:pPr>
        <w:pStyle w:val="ListParagraph"/>
        <w:numPr>
          <w:ilvl w:val="0"/>
          <w:numId w:val="1"/>
        </w:numPr>
        <w:spacing w:after="60"/>
      </w:pPr>
      <w:r>
        <w:rPr>
          <w:b/>
          <w:bCs/>
        </w:rPr>
        <w:t xml:space="preserve">Parenteral</w:t>
      </w:r>
      <w:r>
        <w:t xml:space="preserve">: Administered by injection (e.g., intramuscular, subcutaneous, intravenous). This route bypasses the digestive system and requires sterile technique.</w:t>
      </w:r>
    </w:p>
    <w:p>
      <w:pPr>
        <w:pStyle w:val="Heading2"/>
      </w:pPr>
      <w:r>
        <w:t xml:space="preserve">Safe Handling and Preparation of Injectable Medications</w:t>
      </w:r>
    </w:p>
    <w:p>
      <w:pPr>
        <w:spacing w:after="120"/>
      </w:pPr>
      <w:r>
        <w:rPr>
          <w:rFonts w:ascii="Arial" w:cs="Arial" w:eastAsia="Arial" w:hAnsi="Arial"/>
          <w:color w:val="666666"/>
          <w:sz w:val="15"/>
          <w:szCs w:val="15"/>
        </w:rPr>
        <w:t xml:space="preserve">Covers: Vial Coring Prevention Needle Technique Nursing Skill Medication Administration · Recap a Needle Using the One-Hand Scoop Technique Nursing Skill | Medication Administration · Vial Medication Administration: How to Withdraw Vial Medication Nursing Skill · How to Open an Ampule | How to Break a Glass Ampoule Nursing Skill</w:t>
      </w:r>
    </w:p>
    <w:p>
      <w:pPr>
        <w:spacing w:after="140"/>
      </w:pPr>
      <w:r>
        <w:t xml:space="preserve">While aides and caregivers typically assist with self-administration and do not administer injections, understanding the proper techniques for handling and preparing injectable medications from vials and ampules is crucial for safety, observation, and supporting patients who self-administer. This knowledge also helps you recognize correct procedures and identify potential errors.</w:t>
      </w:r>
    </w:p>
    <w:p>
      <w:pPr>
        <w:pStyle w:val="Heading4"/>
        <w:spacing w:after="80" w:before="200"/>
      </w:pPr>
      <w:r>
        <w:t xml:space="preserve">Working with Vials</w:t>
      </w:r>
    </w:p>
    <w:p>
      <w:pPr>
        <w:spacing w:after="140"/>
      </w:pPr>
      <w:r>
        <w:t xml:space="preserve">Vials are glass or plastic containers with a rubber stopper, holding either single or multiple doses of medication. Multi-dose vials often contain a preservative.</w:t>
      </w:r>
    </w:p>
    <w:p>
      <w:pPr>
        <w:spacing w:after="140"/>
      </w:pPr>
      <w:r>
        <w:rPr>
          <w:b/>
          <w:bCs/>
        </w:rPr>
        <w:t xml:space="preserve">How to Withdraw Medication from a Vial:</w:t>
      </w:r>
    </w:p>
    <w:p>
      <w:pPr>
        <w:pStyle w:val="ListParagraph"/>
        <w:numPr>
          <w:ilvl w:val="0"/>
          <w:numId w:val="2"/>
        </w:numPr>
        <w:spacing w:after="60"/>
      </w:pPr>
      <w:r>
        <w:rPr>
          <w:b/>
          <w:bCs/>
        </w:rPr>
        <w:t xml:space="preserve">Gather Supplies</w:t>
      </w:r>
      <w:r>
        <w:t xml:space="preserve">: Collect the vial, appropriate syringe and needle, alcohol swabs, and gloves.</w:t>
      </w:r>
    </w:p>
    <w:p>
      <w:pPr>
        <w:pStyle w:val="ListParagraph"/>
        <w:numPr>
          <w:ilvl w:val="0"/>
          <w:numId w:val="2"/>
        </w:numPr>
        <w:spacing w:after="60"/>
      </w:pPr>
      <w:r>
        <w:rPr>
          <w:b/>
          <w:bCs/>
        </w:rPr>
        <w:t xml:space="preserve">Hand Hygiene and Gloves</w:t>
      </w:r>
      <w:r>
        <w:t xml:space="preserve">: Wash your hands thoroughly and put on clean gloves.</w:t>
      </w:r>
    </w:p>
    <w:p>
      <w:pPr>
        <w:pStyle w:val="ListParagraph"/>
        <w:numPr>
          <w:ilvl w:val="0"/>
          <w:numId w:val="2"/>
        </w:numPr>
        <w:spacing w:after="60"/>
      </w:pPr>
      <w:r>
        <w:rPr>
          <w:b/>
          <w:bCs/>
        </w:rPr>
        <w:t xml:space="preserve">Clean Vial Stopper</w:t>
      </w:r>
      <w:r>
        <w:t xml:space="preserve">: Swab the rubber stopper of the vial with an alcohol swab and allow it to air dry.</w:t>
      </w:r>
    </w:p>
    <w:p>
      <w:pPr>
        <w:pStyle w:val="ListParagraph"/>
        <w:numPr>
          <w:ilvl w:val="0"/>
          <w:numId w:val="2"/>
        </w:numPr>
        <w:spacing w:after="60"/>
      </w:pPr>
      <w:r>
        <w:rPr>
          <w:b/>
          <w:bCs/>
        </w:rPr>
        <w:t xml:space="preserve">Draw Air</w:t>
      </w:r>
      <w:r>
        <w:t xml:space="preserve">: Pull back the plunger of the syringe to draw an amount of air equal to the prescribed medication dose. This air will be injected into the vial to equalize pressure and make withdrawal easier.</w:t>
      </w:r>
    </w:p>
    <w:p>
      <w:pPr>
        <w:pStyle w:val="ListParagraph"/>
        <w:numPr>
          <w:ilvl w:val="0"/>
          <w:numId w:val="2"/>
        </w:numPr>
        <w:spacing w:after="60"/>
      </w:pPr>
      <w:r>
        <w:rPr>
          <w:b/>
          <w:bCs/>
        </w:rPr>
        <w:t xml:space="preserve">Insert Needle and Inject Air</w:t>
      </w:r>
      <w:r>
        <w:t xml:space="preserve">: Insert the needle straight through the center of the rubber stopper. Inject the air into the vial.</w:t>
      </w:r>
    </w:p>
    <w:p>
      <w:pPr>
        <w:pStyle w:val="ListParagraph"/>
        <w:numPr>
          <w:ilvl w:val="0"/>
          <w:numId w:val="2"/>
        </w:numPr>
        <w:spacing w:after="60"/>
      </w:pPr>
      <w:r>
        <w:rPr>
          <w:b/>
          <w:bCs/>
        </w:rPr>
        <w:t xml:space="preserve">Invert Vial and Withdraw Medication</w:t>
      </w:r>
      <w:r>
        <w:t xml:space="preserve">: Invert the vial (turn it upside down) with the syringe attached. Keep the tip of the needle below the fluid level to prevent drawing air into the syringe. Slowly pull back the plunger to withdraw the correct dose of medication.</w:t>
      </w:r>
    </w:p>
    <w:p>
      <w:pPr>
        <w:pStyle w:val="ListParagraph"/>
        <w:numPr>
          <w:ilvl w:val="0"/>
          <w:numId w:val="2"/>
        </w:numPr>
        <w:spacing w:after="60"/>
      </w:pPr>
      <w:r>
        <w:rPr>
          <w:b/>
          <w:bCs/>
        </w:rPr>
        <w:t xml:space="preserve">Remove Air Bubbles</w:t>
      </w:r>
      <w:r>
        <w:t xml:space="preserve">: If air bubbles are present, gently tap the syringe to move them to the top, then push the plunger slightly to expel the air back into the vial. Recheck the dose.</w:t>
      </w:r>
    </w:p>
    <w:p>
      <w:pPr>
        <w:pStyle w:val="ListParagraph"/>
        <w:numPr>
          <w:ilvl w:val="0"/>
          <w:numId w:val="2"/>
        </w:numPr>
        <w:spacing w:after="60"/>
      </w:pPr>
      <w:r>
        <w:rPr>
          <w:b/>
          <w:bCs/>
        </w:rPr>
        <w:t xml:space="preserve">Remove Needle</w:t>
      </w:r>
      <w:r>
        <w:t xml:space="preserve">: Withdraw the needle from the vial. Avoid touching the needle.</w:t>
      </w:r>
    </w:p>
    <w:p>
      <w:pPr>
        <w:pStyle w:val="Heading4"/>
        <w:spacing w:after="80" w:before="200"/>
      </w:pPr>
      <w:r>
        <w:t xml:space="preserve">Vial Coring Prevention</w:t>
      </w:r>
    </w:p>
    <w:p>
      <w:pPr>
        <w:spacing w:after="140"/>
      </w:pPr>
      <w:r>
        <w:t xml:space="preserve">Coring occurs when a small piece of the rubber stopper is shaved off by the needle and enters the medication. This contaminates the medication and can be dangerous if injected. To prevent coring:</w:t>
      </w:r>
    </w:p>
    <w:p>
      <w:pPr>
        <w:pStyle w:val="ListParagraph"/>
        <w:numPr>
          <w:ilvl w:val="0"/>
          <w:numId w:val="1"/>
        </w:numPr>
        <w:spacing w:after="60"/>
      </w:pPr>
      <w:r>
        <w:t xml:space="preserve">Insert the needle with the bevel (the slanted tip) facing up.</w:t>
      </w:r>
    </w:p>
    <w:p>
      <w:pPr>
        <w:pStyle w:val="ListParagraph"/>
        <w:numPr>
          <w:ilvl w:val="0"/>
          <w:numId w:val="1"/>
        </w:numPr>
        <w:spacing w:after="60"/>
      </w:pPr>
      <w:r>
        <w:t xml:space="preserve">Puncture the stopper at a 45- to 60-degree angle.</w:t>
      </w:r>
    </w:p>
    <w:p>
      <w:pPr>
        <w:pStyle w:val="ListParagraph"/>
        <w:numPr>
          <w:ilvl w:val="0"/>
          <w:numId w:val="1"/>
        </w:numPr>
        <w:spacing w:after="60"/>
      </w:pPr>
      <w:r>
        <w:t xml:space="preserve">As the needle penetrates the stopper, quickly straighten it to a 90-degree angle.</w:t>
      </w:r>
    </w:p>
    <w:p>
      <w:pPr>
        <w:pStyle w:val="ListParagraph"/>
        <w:numPr>
          <w:ilvl w:val="0"/>
          <w:numId w:val="1"/>
        </w:numPr>
        <w:spacing w:after="60"/>
      </w:pPr>
      <w:r>
        <w:t xml:space="preserve">Apply firm, even pressure. This technique helps the needle slide through the stopper without tearing a piece off.</w:t>
      </w:r>
    </w:p>
    <w:p>
      <w:pPr>
        <w:pStyle w:val="Heading4"/>
        <w:spacing w:after="80" w:before="200"/>
      </w:pPr>
      <w:r>
        <w:t xml:space="preserve">Working with Ampules</w:t>
      </w:r>
    </w:p>
    <w:p>
      <w:pPr>
        <w:spacing w:after="140"/>
      </w:pPr>
      <w:r>
        <w:t xml:space="preserve">Ampules are single-dose glass containers with a constricted neck that must be broken open to access the medication. They do not require air injection.</w:t>
      </w:r>
    </w:p>
    <w:p>
      <w:pPr>
        <w:spacing w:after="140"/>
      </w:pPr>
      <w:r>
        <w:rPr>
          <w:b/>
          <w:bCs/>
        </w:rPr>
        <w:t xml:space="preserve">How to Open an Ampule Safely:</w:t>
      </w:r>
    </w:p>
    <w:p>
      <w:pPr>
        <w:pStyle w:val="ListParagraph"/>
        <w:numPr>
          <w:ilvl w:val="0"/>
          <w:numId w:val="2"/>
        </w:numPr>
        <w:spacing w:after="60"/>
      </w:pPr>
      <w:r>
        <w:rPr>
          <w:b/>
          <w:bCs/>
        </w:rPr>
        <w:t xml:space="preserve">Gather Supplies</w:t>
      </w:r>
      <w:r>
        <w:t xml:space="preserve">: Collect the ampule, syringe, filter needle (essential for withdrawing from an ampule), alcohol swabs, and gauze or an ampule opener.</w:t>
      </w:r>
    </w:p>
    <w:p>
      <w:pPr>
        <w:pStyle w:val="ListParagraph"/>
        <w:numPr>
          <w:ilvl w:val="0"/>
          <w:numId w:val="2"/>
        </w:numPr>
        <w:spacing w:after="60"/>
      </w:pPr>
      <w:r>
        <w:rPr>
          <w:b/>
          <w:bCs/>
        </w:rPr>
        <w:t xml:space="preserve">Hand Hygiene and Gloves</w:t>
      </w:r>
      <w:r>
        <w:t xml:space="preserve">: Wash your hands and put on gloves.</w:t>
      </w:r>
    </w:p>
    <w:p>
      <w:pPr>
        <w:pStyle w:val="ListParagraph"/>
        <w:numPr>
          <w:ilvl w:val="0"/>
          <w:numId w:val="2"/>
        </w:numPr>
        <w:spacing w:after="60"/>
      </w:pPr>
      <w:r>
        <w:rPr>
          <w:b/>
          <w:bCs/>
        </w:rPr>
        <w:t xml:space="preserve">Move Medication from Neck</w:t>
      </w:r>
      <w:r>
        <w:t xml:space="preserve">: Gently tap the top of the ampule or swirl it to ensure all medication is in the main body of the ampule, not in the neck.</w:t>
      </w:r>
    </w:p>
    <w:p>
      <w:pPr>
        <w:pStyle w:val="ListParagraph"/>
        <w:numPr>
          <w:ilvl w:val="0"/>
          <w:numId w:val="2"/>
        </w:numPr>
        <w:spacing w:after="60"/>
      </w:pPr>
      <w:r>
        <w:rPr>
          <w:b/>
          <w:bCs/>
        </w:rPr>
        <w:t xml:space="preserve">Protect Hands</w:t>
      </w:r>
      <w:r>
        <w:t xml:space="preserve">: Place a gauze pad or an alcohol swab around the neck of the ampule to protect your fingers from cuts. If available, use an ampule opener.</w:t>
      </w:r>
    </w:p>
    <w:p>
      <w:pPr>
        <w:pStyle w:val="ListParagraph"/>
        <w:numPr>
          <w:ilvl w:val="0"/>
          <w:numId w:val="2"/>
        </w:numPr>
        <w:spacing w:after="60"/>
      </w:pPr>
      <w:r>
        <w:rPr>
          <w:b/>
          <w:bCs/>
        </w:rPr>
        <w:t xml:space="preserve">Break Ampule</w:t>
      </w:r>
      <w:r>
        <w:t xml:space="preserve">: Hold the bottom part of the ampule firmly. With your other hand, snap the top of the ampule </w:t>
      </w:r>
      <w:r>
        <w:rPr>
          <w:i/>
          <w:iCs/>
        </w:rPr>
        <w:t xml:space="preserve">away from your body</w:t>
      </w:r>
      <w:r>
        <w:t xml:space="preserve"> at the score line (a pre-scored mark on the neck).</w:t>
      </w:r>
    </w:p>
    <w:p>
      <w:pPr>
        <w:pStyle w:val="ListParagraph"/>
        <w:numPr>
          <w:ilvl w:val="0"/>
          <w:numId w:val="2"/>
        </w:numPr>
        <w:spacing w:after="60"/>
      </w:pPr>
      <w:r>
        <w:rPr>
          <w:b/>
          <w:bCs/>
        </w:rPr>
        <w:t xml:space="preserve">Dispose of Top</w:t>
      </w:r>
      <w:r>
        <w:t xml:space="preserve">: Immediately discard the broken top of the ampule into a sharps container.</w:t>
      </w:r>
    </w:p>
    <w:p>
      <w:pPr>
        <w:spacing w:after="140"/>
      </w:pPr>
      <w:r>
        <w:rPr>
          <w:b/>
          <w:bCs/>
        </w:rPr>
        <w:t xml:space="preserve">How to Withdraw Medication from an Ampule:</w:t>
      </w:r>
    </w:p>
    <w:p>
      <w:pPr>
        <w:pStyle w:val="ListParagraph"/>
        <w:numPr>
          <w:ilvl w:val="0"/>
          <w:numId w:val="2"/>
        </w:numPr>
        <w:spacing w:after="60"/>
      </w:pPr>
      <w:r>
        <w:rPr>
          <w:b/>
          <w:bCs/>
        </w:rPr>
        <w:t xml:space="preserve">Use a Filter Needle</w:t>
      </w:r>
      <w:r>
        <w:t xml:space="preserve">: Attach a filter needle to the syringe. This needle has a filter to prevent glass particles from being drawn into the syringe.</w:t>
      </w:r>
    </w:p>
    <w:p>
      <w:pPr>
        <w:pStyle w:val="ListParagraph"/>
        <w:numPr>
          <w:ilvl w:val="0"/>
          <w:numId w:val="2"/>
        </w:numPr>
        <w:spacing w:after="60"/>
      </w:pPr>
      <w:r>
        <w:rPr>
          <w:b/>
          <w:bCs/>
        </w:rPr>
        <w:t xml:space="preserve">Insert Needle</w:t>
      </w:r>
      <w:r>
        <w:t xml:space="preserve">: Insert the filter needle into the ampule. Do not inject air into an ampule.</w:t>
      </w:r>
    </w:p>
    <w:p>
      <w:pPr>
        <w:pStyle w:val="ListParagraph"/>
        <w:numPr>
          <w:ilvl w:val="0"/>
          <w:numId w:val="2"/>
        </w:numPr>
        <w:spacing w:after="60"/>
      </w:pPr>
      <w:r>
        <w:rPr>
          <w:b/>
          <w:bCs/>
        </w:rPr>
        <w:t xml:space="preserve">Withdraw Medication</w:t>
      </w:r>
      <w:r>
        <w:t xml:space="preserve">: Tilt the ampule to bring all the medication within reach of the needle tip. Slowly pull back the plunger to withdraw the medication.</w:t>
      </w:r>
    </w:p>
    <w:p>
      <w:pPr>
        <w:pStyle w:val="ListParagraph"/>
        <w:numPr>
          <w:ilvl w:val="0"/>
          <w:numId w:val="2"/>
        </w:numPr>
        <w:spacing w:after="60"/>
      </w:pPr>
      <w:r>
        <w:rPr>
          <w:b/>
          <w:bCs/>
        </w:rPr>
        <w:t xml:space="preserve">Replace Needle</w:t>
      </w:r>
      <w:r>
        <w:t xml:space="preserve">: After withdrawing the medication, </w:t>
      </w:r>
      <w:r>
        <w:rPr>
          <w:i/>
          <w:iCs/>
        </w:rPr>
        <w:t xml:space="preserve">always remove the filter needle</w:t>
      </w:r>
      <w:r>
        <w:t xml:space="preserve"> and replace it with a new, sterile administration needle before any injection. The filter needle is not for injection.</w:t>
      </w:r>
    </w:p>
    <w:p>
      <w:pPr>
        <w:pStyle w:val="Heading4"/>
        <w:spacing w:after="80" w:before="200"/>
      </w:pPr>
      <w:r>
        <w:t xml:space="preserve">Needle Safety: The One-Hand Scoop Technique</w:t>
      </w:r>
    </w:p>
    <w:p>
      <w:pPr>
        <w:spacing w:after="140"/>
      </w:pPr>
      <w:r>
        <w:t xml:space="preserve">Needle stick injuries are a significant risk. The safest practice is to never recap a used needle. Instead, immediately dispose of it in an approved sharps container. However, if recapping is absolutely necessary (e.g., for safe transport to a sharps container that is not immediately at hand), the one-hand scoop technique is the safest method to prevent accidental needle sticks.</w:t>
      </w:r>
    </w:p>
    <w:p>
      <w:pPr>
        <w:spacing w:after="140"/>
      </w:pPr>
      <w:r>
        <w:rPr>
          <w:b/>
          <w:bCs/>
        </w:rPr>
        <w:t xml:space="preserve">Steps for the One-Hand Scoop Technique:</w:t>
      </w:r>
    </w:p>
    <w:p>
      <w:pPr>
        <w:pStyle w:val="ListParagraph"/>
        <w:numPr>
          <w:ilvl w:val="0"/>
          <w:numId w:val="2"/>
        </w:numPr>
        <w:spacing w:after="60"/>
      </w:pPr>
      <w:r>
        <w:rPr>
          <w:b/>
          <w:bCs/>
        </w:rPr>
        <w:t xml:space="preserve">Place Cap on Flat Surface</w:t>
      </w:r>
      <w:r>
        <w:t xml:space="preserve">: Lay the needle cap on a flat, stable surface (e.g., a table, tray).</w:t>
      </w:r>
    </w:p>
    <w:p>
      <w:pPr>
        <w:pStyle w:val="ListParagraph"/>
        <w:numPr>
          <w:ilvl w:val="0"/>
          <w:numId w:val="2"/>
        </w:numPr>
        <w:spacing w:after="60"/>
      </w:pPr>
      <w:r>
        <w:rPr>
          <w:b/>
          <w:bCs/>
        </w:rPr>
        <w:t xml:space="preserve">Scoop the Cap</w:t>
      </w:r>
      <w:r>
        <w:t xml:space="preserve">: Using only one hand, guide the needle into the cap without touching the cap with your other hand.</w:t>
      </w:r>
    </w:p>
    <w:p>
      <w:pPr>
        <w:pStyle w:val="ListParagraph"/>
        <w:numPr>
          <w:ilvl w:val="0"/>
          <w:numId w:val="2"/>
        </w:numPr>
        <w:spacing w:after="60"/>
      </w:pPr>
      <w:r>
        <w:rPr>
          <w:b/>
          <w:bCs/>
        </w:rPr>
        <w:t xml:space="preserve">Secure the Cap</w:t>
      </w:r>
      <w:r>
        <w:t xml:space="preserve">: Once the needle is inside the cap, use the capped needle to push the cap against a hard surface (like a table) until it clicks securely into place.</w:t>
      </w:r>
    </w:p>
    <w:p>
      <w:pPr>
        <w:pStyle w:val="ListParagraph"/>
        <w:numPr>
          <w:ilvl w:val="0"/>
          <w:numId w:val="2"/>
        </w:numPr>
        <w:spacing w:after="60"/>
      </w:pPr>
      <w:r>
        <w:rPr>
          <w:b/>
          <w:bCs/>
        </w:rPr>
        <w:t xml:space="preserve">Dispose</w:t>
      </w:r>
      <w:r>
        <w:t xml:space="preserve">: Immediately place the capped needle into an approved sharps container.</w:t>
      </w:r>
    </w:p>
    <w:p>
      <w:pPr>
        <w:spacing w:after="140"/>
      </w:pPr>
      <w:r>
        <w:t xml:space="preserve">Always dispose of all sharps (needles, ampule tops, broken glass) immediately into a puncture-resistant sharps container. Never overfill a sharps container. Your understanding of these techniques contributes to a safer environment for both you and the patient.</w:t>
      </w:r>
    </w:p>
    <w:p>
      <w:pPr>
        <w:pStyle w:val="Heading2"/>
      </w:pPr>
      <w:r>
        <w:t xml:space="preserve">Barbiturates: Recognizing a High-Risk Medication Class</w:t>
      </w:r>
    </w:p>
    <w:p>
      <w:pPr>
        <w:spacing w:after="120"/>
      </w:pPr>
      <w:r>
        <w:rPr>
          <w:rFonts w:ascii="Arial" w:cs="Arial" w:eastAsia="Arial" w:hAnsi="Arial"/>
          <w:color w:val="666666"/>
          <w:sz w:val="15"/>
          <w:szCs w:val="15"/>
        </w:rPr>
        <w:t xml:space="preserve">Covers: Barbiturates Pharmacology Nursing NCLEX Review Mechanism of Action</w:t>
      </w:r>
    </w:p>
    <w:p>
      <w:pPr>
        <w:spacing w:after="140"/>
      </w:pPr>
      <w:r>
        <w:t xml:space="preserve">Understanding specific medication classes, especially those with high risks, is critical for any caregiver. Barbiturates are a class of central nervous system (CNS) depressants that have been used for decades as sedatives, hypnotics (sleep aids), anxiolytics (anti-anxiety medications), and anticonvulsants (to prevent seizures). Examples include phenobarbital, pentobarbital, and secobarbital. While their use has declined due to the development of safer alternatives like benzodiazepines, they are still prescribed in certain situations.</w:t>
      </w:r>
    </w:p>
    <w:p>
      <w:pPr>
        <w:pStyle w:val="Heading4"/>
        <w:spacing w:after="80" w:before="200"/>
      </w:pPr>
      <w:r>
        <w:t xml:space="preserve">How Barbiturates Work (Mechanism of Action)</w:t>
      </w:r>
    </w:p>
    <w:p>
      <w:pPr>
        <w:spacing w:after="140"/>
      </w:pPr>
      <w:r>
        <w:t xml:space="preserve">Barbiturates work by enhancing the activity of a neurotransmitter called gamma-aminobutyric acid (GABA) in the brain. GABA is the primary inhibitory neurotransmitter in the CNS, meaning it slows down brain activity. By increasing GABA's effects, barbiturates cause generalized CNS depression, leading to sedation, reduced anxiety, and muscle relaxation. At higher doses, they can induce sleep and even anesthesia.</w:t>
      </w:r>
    </w:p>
    <w:p>
      <w:pPr>
        <w:pStyle w:val="Heading4"/>
        <w:spacing w:after="80" w:before="200"/>
      </w:pPr>
      <w:r>
        <w:t xml:space="preserve">Why Barbiturates Are High-Risk Medications</w:t>
      </w:r>
    </w:p>
    <w:p>
      <w:pPr>
        <w:spacing w:after="140"/>
      </w:pPr>
      <w:r>
        <w:t xml:space="preserve">It is essential for caregivers to recognize barbiturates as high-risk drugs due to several characteristics:</w:t>
      </w:r>
    </w:p>
    <w:p>
      <w:pPr>
        <w:pStyle w:val="ListParagraph"/>
        <w:numPr>
          <w:ilvl w:val="0"/>
          <w:numId w:val="1"/>
        </w:numPr>
        <w:spacing w:after="60"/>
      </w:pPr>
      <w:r>
        <w:rPr>
          <w:b/>
          <w:bCs/>
        </w:rPr>
        <w:t xml:space="preserve">Narrow Therapeutic Index</w:t>
      </w:r>
      <w:r>
        <w:t xml:space="preserve">: This means there is a small difference between an effective dose and a toxic, potentially fatal, dose. Even a slight overdose can lead to severe complications.</w:t>
      </w:r>
    </w:p>
    <w:p>
      <w:pPr>
        <w:pStyle w:val="ListParagraph"/>
        <w:numPr>
          <w:ilvl w:val="0"/>
          <w:numId w:val="1"/>
        </w:numPr>
        <w:spacing w:after="60"/>
      </w:pPr>
      <w:r>
        <w:rPr>
          <w:b/>
          <w:bCs/>
        </w:rPr>
        <w:t xml:space="preserve">Respiratory Depression</w:t>
      </w:r>
      <w:r>
        <w:t xml:space="preserve">: The most dangerous side effect is dose-dependent respiratory depression. As the dose increases, breathing becomes slower and shallower, potentially leading to respiratory arrest and death.</w:t>
      </w:r>
    </w:p>
    <w:p>
      <w:pPr>
        <w:pStyle w:val="ListParagraph"/>
        <w:numPr>
          <w:ilvl w:val="0"/>
          <w:numId w:val="1"/>
        </w:numPr>
        <w:spacing w:after="60"/>
      </w:pPr>
      <w:r>
        <w:rPr>
          <w:b/>
          <w:bCs/>
        </w:rPr>
        <w:t xml:space="preserve">High Potential for Dependence and Addiction</w:t>
      </w:r>
      <w:r>
        <w:t xml:space="preserve">: Barbiturates can cause significant physical and psychological dependence. Abrupt cessation after prolonged use can lead to severe and life-threatening withdrawal symptoms, including seizures and delirium.</w:t>
      </w:r>
    </w:p>
    <w:p>
      <w:pPr>
        <w:pStyle w:val="ListParagraph"/>
        <w:numPr>
          <w:ilvl w:val="0"/>
          <w:numId w:val="1"/>
        </w:numPr>
        <w:spacing w:after="60"/>
      </w:pPr>
      <w:r>
        <w:rPr>
          <w:b/>
          <w:bCs/>
        </w:rPr>
        <w:t xml:space="preserve">Tolerance</w:t>
      </w:r>
      <w:r>
        <w:t xml:space="preserve">: Over time, the body develops tolerance, requiring higher doses to achieve the same effect. This increases the risk of toxicity and dependence.</w:t>
      </w:r>
    </w:p>
    <w:p>
      <w:pPr>
        <w:pStyle w:val="ListParagraph"/>
        <w:numPr>
          <w:ilvl w:val="0"/>
          <w:numId w:val="1"/>
        </w:numPr>
        <w:spacing w:after="60"/>
      </w:pPr>
      <w:r>
        <w:rPr>
          <w:b/>
          <w:bCs/>
        </w:rPr>
        <w:t xml:space="preserve">Drug Interactions</w:t>
      </w:r>
      <w:r>
        <w:t xml:space="preserve">: Barbiturates interact dangerously with other CNS depressants.</w:t>
      </w:r>
    </w:p>
    <w:p>
      <w:pPr>
        <w:pStyle w:val="Heading4"/>
        <w:spacing w:after="80" w:before="200"/>
      </w:pPr>
      <w:r>
        <w:t xml:space="preserve">Red Flags: Side Effects and Signs of Overdose</w:t>
      </w:r>
    </w:p>
    <w:p>
      <w:pPr>
        <w:spacing w:after="140"/>
      </w:pPr>
      <w:r>
        <w:t xml:space="preserve">Caregivers must be vigilant and immediately report any of these signs to a nurse or pharmacist. Recognizing these 'red flags' can be life-saving:</w:t>
      </w:r>
    </w:p>
    <w:p>
      <w:pPr>
        <w:pStyle w:val="ListParagraph"/>
        <w:numPr>
          <w:ilvl w:val="0"/>
          <w:numId w:val="1"/>
        </w:numPr>
        <w:spacing w:after="60"/>
      </w:pPr>
      <w:r>
        <w:rPr>
          <w:b/>
          <w:bCs/>
        </w:rPr>
        <w:t xml:space="preserve">Excessive Drowsiness or Lethargy</w:t>
      </w:r>
      <w:r>
        <w:t xml:space="preserve">: The patient is unusually sleepy, difficult to arouse, or unresponsive.</w:t>
      </w:r>
    </w:p>
    <w:p>
      <w:pPr>
        <w:pStyle w:val="ListParagraph"/>
        <w:numPr>
          <w:ilvl w:val="0"/>
          <w:numId w:val="1"/>
        </w:numPr>
        <w:spacing w:after="60"/>
      </w:pPr>
      <w:r>
        <w:rPr>
          <w:b/>
          <w:bCs/>
        </w:rPr>
        <w:t xml:space="preserve">Slurred Speech</w:t>
      </w:r>
      <w:r>
        <w:t xml:space="preserve">: Difficulty articulating words clearly.</w:t>
      </w:r>
    </w:p>
    <w:p>
      <w:pPr>
        <w:pStyle w:val="ListParagraph"/>
        <w:numPr>
          <w:ilvl w:val="0"/>
          <w:numId w:val="1"/>
        </w:numPr>
        <w:spacing w:after="60"/>
      </w:pPr>
      <w:r>
        <w:rPr>
          <w:b/>
          <w:bCs/>
        </w:rPr>
        <w:t xml:space="preserve">Confusion or Disorientation</w:t>
      </w:r>
      <w:r>
        <w:t xml:space="preserve">: The patient seems disoriented to person, place, or time.</w:t>
      </w:r>
    </w:p>
    <w:p>
      <w:pPr>
        <w:pStyle w:val="ListParagraph"/>
        <w:numPr>
          <w:ilvl w:val="0"/>
          <w:numId w:val="1"/>
        </w:numPr>
        <w:spacing w:after="60"/>
      </w:pPr>
      <w:r>
        <w:rPr>
          <w:b/>
          <w:bCs/>
        </w:rPr>
        <w:t xml:space="preserve">Slow, Shallow Breathing</w:t>
      </w:r>
      <w:r>
        <w:t xml:space="preserve">: This is a critical sign. Count respirations. Fewer than 10-12 breaths per minute, or very shallow breaths, warrant immediate attention.</w:t>
      </w:r>
    </w:p>
    <w:p>
      <w:pPr>
        <w:pStyle w:val="ListParagraph"/>
        <w:numPr>
          <w:ilvl w:val="0"/>
          <w:numId w:val="1"/>
        </w:numPr>
        <w:spacing w:after="60"/>
      </w:pPr>
      <w:r>
        <w:rPr>
          <w:b/>
          <w:bCs/>
        </w:rPr>
        <w:t xml:space="preserve">Bradycardia</w:t>
      </w:r>
      <w:r>
        <w:t xml:space="preserve">: An unusually slow heart rate.</w:t>
      </w:r>
    </w:p>
    <w:p>
      <w:pPr>
        <w:pStyle w:val="ListParagraph"/>
        <w:numPr>
          <w:ilvl w:val="0"/>
          <w:numId w:val="1"/>
        </w:numPr>
        <w:spacing w:after="60"/>
      </w:pPr>
      <w:r>
        <w:rPr>
          <w:b/>
          <w:bCs/>
        </w:rPr>
        <w:t xml:space="preserve">Hypotension</w:t>
      </w:r>
      <w:r>
        <w:t xml:space="preserve">: Low blood pressure, which might manifest as dizziness or weakness.</w:t>
      </w:r>
    </w:p>
    <w:p>
      <w:pPr>
        <w:pStyle w:val="ListParagraph"/>
        <w:numPr>
          <w:ilvl w:val="0"/>
          <w:numId w:val="1"/>
        </w:numPr>
        <w:spacing w:after="60"/>
      </w:pPr>
      <w:r>
        <w:rPr>
          <w:b/>
          <w:bCs/>
        </w:rPr>
        <w:t xml:space="preserve">Ataxia</w:t>
      </w:r>
      <w:r>
        <w:t xml:space="preserve">: Impaired coordination or unsteady gait.</w:t>
      </w:r>
    </w:p>
    <w:p>
      <w:pPr>
        <w:pStyle w:val="ListParagraph"/>
        <w:numPr>
          <w:ilvl w:val="0"/>
          <w:numId w:val="1"/>
        </w:numPr>
        <w:spacing w:after="60"/>
      </w:pPr>
      <w:r>
        <w:rPr>
          <w:b/>
          <w:bCs/>
        </w:rPr>
        <w:t xml:space="preserve">Pinpoint Pupils</w:t>
      </w:r>
      <w:r>
        <w:t xml:space="preserve">: Pupils that are unusually small.</w:t>
      </w:r>
    </w:p>
    <w:p>
      <w:pPr>
        <w:pStyle w:val="ListParagraph"/>
        <w:numPr>
          <w:ilvl w:val="0"/>
          <w:numId w:val="1"/>
        </w:numPr>
        <w:spacing w:after="60"/>
      </w:pPr>
      <w:r>
        <w:rPr>
          <w:b/>
          <w:bCs/>
        </w:rPr>
        <w:t xml:space="preserve">Unresponsiveness or Coma</w:t>
      </w:r>
      <w:r>
        <w:t xml:space="preserve">: The patient cannot be awakened.</w:t>
      </w:r>
    </w:p>
    <w:p>
      <w:pPr>
        <w:pStyle w:val="Heading4"/>
        <w:spacing w:after="80" w:before="200"/>
      </w:pPr>
      <w:r>
        <w:t xml:space="preserve">Dangerous Interactions</w:t>
      </w:r>
    </w:p>
    <w:p>
      <w:pPr>
        <w:spacing w:after="140"/>
      </w:pPr>
      <w:r>
        <w:t xml:space="preserve">It is crucial to be aware that barbiturates have dangerous interactions with other substances that also depress the CNS. Combining barbiturates with any of the following can significantly increase the risk of respiratory depression, coma, and death:</w:t>
      </w:r>
    </w:p>
    <w:p>
      <w:pPr>
        <w:pStyle w:val="ListParagraph"/>
        <w:numPr>
          <w:ilvl w:val="0"/>
          <w:numId w:val="1"/>
        </w:numPr>
        <w:spacing w:after="60"/>
      </w:pPr>
      <w:r>
        <w:rPr>
          <w:b/>
          <w:bCs/>
        </w:rPr>
        <w:t xml:space="preserve">Alcohol</w:t>
      </w:r>
      <w:r>
        <w:t xml:space="preserve">: Even small amounts of alcohol can dangerously amplify the effects of barbiturates.</w:t>
      </w:r>
    </w:p>
    <w:p>
      <w:pPr>
        <w:pStyle w:val="ListParagraph"/>
        <w:numPr>
          <w:ilvl w:val="0"/>
          <w:numId w:val="1"/>
        </w:numPr>
        <w:spacing w:after="60"/>
      </w:pPr>
      <w:r>
        <w:rPr>
          <w:b/>
          <w:bCs/>
        </w:rPr>
        <w:t xml:space="preserve">Benzodiazepines</w:t>
      </w:r>
      <w:r>
        <w:t xml:space="preserve">: (e.g., diazepam, lorazepam) These are also CNS depressants.</w:t>
      </w:r>
    </w:p>
    <w:p>
      <w:pPr>
        <w:pStyle w:val="ListParagraph"/>
        <w:numPr>
          <w:ilvl w:val="0"/>
          <w:numId w:val="1"/>
        </w:numPr>
        <w:spacing w:after="60"/>
      </w:pPr>
      <w:r>
        <w:rPr>
          <w:b/>
          <w:bCs/>
        </w:rPr>
        <w:t xml:space="preserve">Opioids</w:t>
      </w:r>
      <w:r>
        <w:t xml:space="preserve">: (e.g., morphine, oxycodone) Another class of powerful CNS depressants.</w:t>
      </w:r>
    </w:p>
    <w:p>
      <w:pPr>
        <w:pStyle w:val="ListParagraph"/>
        <w:numPr>
          <w:ilvl w:val="0"/>
          <w:numId w:val="1"/>
        </w:numPr>
        <w:spacing w:after="60"/>
      </w:pPr>
      <w:r>
        <w:rPr>
          <w:b/>
          <w:bCs/>
        </w:rPr>
        <w:t xml:space="preserve">Other Sedatives or Hypnotics</w:t>
      </w:r>
      <w:r>
        <w:t xml:space="preserve">: Any medication that causes drowsiness.</w:t>
      </w:r>
    </w:p>
    <w:p>
      <w:pPr>
        <w:spacing w:after="140"/>
      </w:pPr>
      <w:r>
        <w:t xml:space="preserve">As a caregiver, your role is to observe for any of these signs and report them without delay. Never adjust a patient's medication dose or give extra medication. Always follow the prescribed orders strictly and communicate any concerns about the patient's condition or potential interactions to the supervising nurse or pharmacist immediately.</w:t>
      </w:r>
    </w:p>
    <w:p>
      <w:pPr>
        <w:pStyle w:val="Heading3"/>
      </w:pPr>
      <w:r>
        <w:t xml:space="preserve">Key Takeaways</w:t>
      </w:r>
    </w:p>
    <w:p>
      <w:pPr>
        <w:pStyle w:val="ListParagraph"/>
        <w:numPr>
          <w:ilvl w:val="0"/>
          <w:numId w:val="1"/>
        </w:numPr>
        <w:spacing w:after="60"/>
      </w:pPr>
      <w:r>
        <w:t xml:space="preserve">Medication safety is built upon consistently verifying the 'Rights of Medication Administration' for every dose.</w:t>
      </w:r>
    </w:p>
    <w:p>
      <w:pPr>
        <w:pStyle w:val="ListParagraph"/>
        <w:numPr>
          <w:ilvl w:val="0"/>
          <w:numId w:val="1"/>
        </w:numPr>
        <w:spacing w:after="60"/>
      </w:pPr>
      <w:r>
        <w:t xml:space="preserve">Understanding common medication abbreviations and routes of administration is essential for accurate and safe care.</w:t>
      </w:r>
    </w:p>
    <w:p>
      <w:pPr>
        <w:pStyle w:val="ListParagraph"/>
        <w:numPr>
          <w:ilvl w:val="0"/>
          <w:numId w:val="1"/>
        </w:numPr>
        <w:spacing w:after="60"/>
      </w:pPr>
      <w:r>
        <w:t xml:space="preserve">Proper, sterile technique for withdrawing medication from vials and safely opening ampules prevents contamination and errors.</w:t>
      </w:r>
    </w:p>
    <w:p>
      <w:pPr>
        <w:pStyle w:val="ListParagraph"/>
        <w:numPr>
          <w:ilvl w:val="0"/>
          <w:numId w:val="1"/>
        </w:numPr>
        <w:spacing w:after="60"/>
      </w:pPr>
      <w:r>
        <w:t xml:space="preserve">Needle safety, including the one-hand scoop technique and immediate sharps disposal, is critical to prevent accidental injuries.</w:t>
      </w:r>
    </w:p>
    <w:p>
      <w:pPr>
        <w:pStyle w:val="ListParagraph"/>
        <w:numPr>
          <w:ilvl w:val="0"/>
          <w:numId w:val="1"/>
        </w:numPr>
        <w:spacing w:after="60"/>
      </w:pPr>
      <w:r>
        <w:t xml:space="preserve">Barbiturates are a high-risk medication class due to their narrow therapeutic index and potential for severe respiratory depression.</w:t>
      </w:r>
    </w:p>
    <w:p>
      <w:pPr>
        <w:pStyle w:val="ListParagraph"/>
        <w:numPr>
          <w:ilvl w:val="0"/>
          <w:numId w:val="1"/>
        </w:numPr>
        <w:spacing w:after="60"/>
      </w:pPr>
      <w:r>
        <w:t xml:space="preserve">Caregivers must recognize and immediately report 'red flags' such as excessive drowsiness or slow breathing in patients taking high-risk medications.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List and explain at least five of the 'Rights of Medication Administration' and why each is important.</w:t>
      </w:r>
    </w:p>
    <w:p>
      <w:pPr>
        <w:spacing w:after="60"/>
      </w:pPr>
      <w:r>
        <w:t xml:space="preserve">2. </w:t>
      </w:r>
      <w:r>
        <w:t xml:space="preserve">What do the abbreviations 'BID,' 'PRN,' and 'PO' mean, and why is it important to know them?</w:t>
      </w:r>
    </w:p>
    <w:p>
      <w:pPr>
        <w:spacing w:after="60"/>
      </w:pPr>
      <w:r>
        <w:t xml:space="preserve">3. </w:t>
      </w:r>
      <w:r>
        <w:t xml:space="preserve">Describe the key steps for safely withdrawing medication from a vial.</w:t>
      </w:r>
    </w:p>
    <w:p>
      <w:pPr>
        <w:spacing w:after="60"/>
      </w:pPr>
      <w:r>
        <w:t xml:space="preserve">4. </w:t>
      </w:r>
      <w:r>
        <w:t xml:space="preserve">Why is the 'one-hand scoop technique' important for needle safety, and when should it be used?</w:t>
      </w:r>
    </w:p>
    <w:p>
      <w:pPr>
        <w:spacing w:after="60"/>
      </w:pPr>
      <w:r>
        <w:t xml:space="preserve">5. </w:t>
      </w:r>
      <w:r>
        <w:t xml:space="preserve">What are barbiturates, and what are two critical 'red flags' an aide should watch for in someone taking them?</w:t>
      </w:r>
    </w:p>
    <w:p>
      <w:pPr>
        <w:pStyle w:val="Heading1"/>
        <w:pageBreakBefore/>
      </w:pPr>
      <w:r>
        <w:t xml:space="preserve">Chapter 4: Specialized Medication Administration and Key Cardiac Drugs</w:t>
      </w:r>
    </w:p>
    <w:p>
      <w:pPr>
        <w:spacing w:after="140"/>
      </w:pPr>
      <w:r>
        <w:t xml:space="preserve">Chapter 4 introduces you to specific medication administration techniques and works through the essential details of several common cardiovascular medications. While aides and caregivers do not administer medications directly from ampules, understanding this process helps you recognize proper procedures and safety considerations when observing licensed professionals. This chapter also covers important drug classes like anticoagulants, calcium channel blockers, and cardiac glycosides. For each, you will learn their purpose, how they work, common side effects, and critical observations to report. This knowledge is vital for supporting medication adherence and recognizing red flags that require immediate attention from a nurse or pharmacist.</w:t>
      </w:r>
    </w:p>
    <w:p>
      <w:pPr>
        <w:pStyle w:val="Heading2"/>
      </w:pPr>
      <w:r>
        <w:t xml:space="preserve">Understanding Ampule Administration</w:t>
      </w:r>
    </w:p>
    <w:p>
      <w:pPr>
        <w:spacing w:after="120"/>
      </w:pPr>
      <w:r>
        <w:rPr>
          <w:rFonts w:ascii="Arial" w:cs="Arial" w:eastAsia="Arial" w:hAnsi="Arial"/>
          <w:color w:val="666666"/>
          <w:sz w:val="15"/>
          <w:szCs w:val="15"/>
        </w:rPr>
        <w:t xml:space="preserve">Covers: Ampule Medication Administration Nursing Clinical Skills (video, 5 min)</w:t>
      </w:r>
    </w:p>
    <w:p>
      <w:pPr>
        <w:spacing w:after="140"/>
      </w:pPr>
      <w:r>
        <w:t xml:space="preserve">Ampules are small, sealed glass containers that hold a single dose of liquid medication. They are used when a medication needs to be kept sterile and free from preservatives, often for injections. As an aide or caregiver, you will not administer medications from ampules. However, understanding the process a licensed professional follows is important for recognizing safe practices and potential issues.</w:t>
      </w:r>
    </w:p>
    <w:p>
      <w:pPr>
        <w:pStyle w:val="Heading4"/>
        <w:spacing w:after="80" w:before="200"/>
      </w:pPr>
      <w:r>
        <w:t xml:space="preserve">Opening an Ampule Safely</w:t>
      </w:r>
    </w:p>
    <w:p>
      <w:pPr>
        <w:spacing w:after="140"/>
      </w:pPr>
      <w:r>
        <w:t xml:space="preserve">Ampules are made of glass, and opening them requires specific steps to prevent injury and contamination. The top of an ampule usually has a scored neck, which is a weak point designed for a clean break. Before opening, ensure all medication is in the body of the ampule. Gently tap the top of the ampule or flick it with your finger to move any liquid from the neck down into the main body.</w:t>
      </w:r>
    </w:p>
    <w:p>
      <w:pPr>
        <w:spacing w:after="140"/>
      </w:pPr>
      <w:r>
        <w:t xml:space="preserve">Next, protect your hands. Use an alcohol wipe, a small piece of gauze, or a specialized ampule opener to cover the neck of the ampule. This provides a barrier against sharp edges and helps achieve a clean break. Hold the ampule firmly with one hand, positioning your thumbs on either side of the neck score. With the other hand, grasp the top of the ampule. Snap the top off quickly and firmly, breaking it </w:t>
      </w:r>
      <w:r>
        <w:rPr>
          <w:i/>
          <w:iCs/>
        </w:rPr>
        <w:t xml:space="preserve">away</w:t>
      </w:r>
      <w:r>
        <w:t xml:space="preserve"> from your body and others. A clean break is crucial to avoid glass shards.</w:t>
      </w:r>
    </w:p>
    <w:p>
      <w:pPr>
        <w:pStyle w:val="Heading4"/>
        <w:spacing w:after="80" w:before="200"/>
      </w:pPr>
      <w:r>
        <w:t xml:space="preserve">Drawing Medication from an Ampule</w:t>
      </w:r>
    </w:p>
    <w:p>
      <w:pPr>
        <w:spacing w:after="140"/>
      </w:pPr>
      <w:r>
        <w:t xml:space="preserve">After opening, the ampule becomes an open container. To draw medication, a filter needle must be used. A filter needle has a tiny filter that prevents any microscopic glass particles, which might have resulted from the breaking process, from being drawn into the syringe. Attach the filter needle to a syringe. Invert the ampule or hold it at an angle, and insert the filter needle into the liquid without touching the sides of the ampule opening. Slowly withdraw the medication into the syringe. Be careful to avoid introducing air bubbles.</w:t>
      </w:r>
    </w:p>
    <w:p>
      <w:pPr>
        <w:spacing w:after="140"/>
      </w:pPr>
      <w:r>
        <w:t xml:space="preserve">Once the correct dose is drawn, remove the filter needle from the syringe. Immediately replace it with a new, sterile administration needle appropriate for the planned injection route (e.g., intramuscular or subcutaneous). Never use the filter needle for injection, as it can be dull from piercing the ampule and the filter is not designed for injection into tissue. Dispose of the broken ampule top and the used filter needle in a sharps container immediately to prevent needlestick injuries. Proper disposal is a critical safety step.</w:t>
      </w:r>
    </w:p>
    <w:p>
      <w:pPr>
        <w:pStyle w:val="Heading4"/>
        <w:spacing w:after="80" w:before="200"/>
      </w:pPr>
      <w:r>
        <w:t xml:space="preserve">Key Considerations for Aides and Caregivers</w:t>
      </w:r>
    </w:p>
    <w:p>
      <w:pPr>
        <w:spacing w:after="140"/>
      </w:pPr>
      <w:r>
        <w:t xml:space="preserve">While you do not perform this skill, observing a licensed professional can give you insight. Notice if they use a filter needle, open the ampule carefully, and dispose of sharps correctly. If you ever observe a breach in these safety protocols, it is important to report it to your supervisor. Understanding this process enhances your awareness of medication safety and sterile technique.</w:t>
      </w:r>
    </w:p>
    <w:p>
      <w:pPr>
        <w:pStyle w:val="Heading2"/>
      </w:pPr>
      <w:r>
        <w:t xml:space="preserve">Anticoagulants: Heparin and Warfarin</w:t>
      </w:r>
    </w:p>
    <w:p>
      <w:pPr>
        <w:spacing w:after="120"/>
      </w:pPr>
      <w:r>
        <w:rPr>
          <w:rFonts w:ascii="Arial" w:cs="Arial" w:eastAsia="Arial" w:hAnsi="Arial"/>
          <w:color w:val="666666"/>
          <w:sz w:val="15"/>
          <w:szCs w:val="15"/>
        </w:rPr>
        <w:t xml:space="preserve">Covers: Heparin vs Warfarin (Coumadin) Nursing Review Anticoagulant Differences (video, 13 min) · Heparin (Anticoagulant) Nursing NCLEX Review: Pharmacology, Intervention, Patient Teaching (video, 16 min) · Warfarin (Coumadin) Anticoagulant Nursing NCLEX Review Pharmacology (video, 14 min)</w:t>
      </w:r>
    </w:p>
    <w:p>
      <w:pPr>
        <w:spacing w:after="140"/>
      </w:pPr>
      <w:r>
        <w:t xml:space="preserve">Anticoagulants are often called 'blood thinners,' but they do not actually thin the blood. Instead, they prevent or slow down the formation of blood clots. These medications are critical for individuals at risk of dangerous clots, such as those with deep vein thrombosis (DVT), pulmonary embolism (PE), atrial fibrillation (AFib), or after certain surgeries.</w:t>
      </w:r>
    </w:p>
    <w:p>
      <w:pPr>
        <w:pStyle w:val="Heading4"/>
        <w:spacing w:after="80" w:before="200"/>
      </w:pPr>
      <w:r>
        <w:t xml:space="preserve">Heparin</w:t>
      </w:r>
    </w:p>
    <w:p>
      <w:pPr>
        <w:spacing w:after="140"/>
      </w:pPr>
      <w:r>
        <w:t xml:space="preserve">Heparin is a fast-acting anticoagulant. It works by enhancing the activity of antithrombin, a natural protein that inactivates several clotting factors in the blood. This rapid action makes heparin suitable for acute situations where immediate clot prevention is needed. Heparin is typically given by intravenous (IV) infusion or subcutaneous injection. It cannot be taken orally because it would be broken down in the digestive system.</w:t>
      </w:r>
    </w:p>
    <w:p>
      <w:pPr>
        <w:spacing w:after="140"/>
      </w:pPr>
      <w:r>
        <w:t xml:space="preserve">Monitoring heparin's effect is done through a blood test called activated partial thromboplastin time (aPTT). The dose is adjusted to keep the aPTT within a specific therapeutic range. A key safety concern with heparin is the risk of bleeding. Patients on heparin must be monitored for signs of bleeding, such as unusual bruising, nosebleeds, blood in urine or stool, or prolonged bleeding from cuts. The antidote for heparin overdose is protamine sulfate, which rapidly reverses its effects.</w:t>
      </w:r>
    </w:p>
    <w:p>
      <w:pPr>
        <w:pStyle w:val="Heading4"/>
        <w:spacing w:after="80" w:before="200"/>
      </w:pPr>
      <w:r>
        <w:t xml:space="preserve">Warfarin (Coumadin)</w:t>
      </w:r>
    </w:p>
    <w:p>
      <w:pPr>
        <w:spacing w:after="140"/>
      </w:pPr>
      <w:r>
        <w:t xml:space="preserve">Warfarin, commonly known by its brand name Coumadin, is an oral anticoagulant. Unlike heparin, warfarin works by blocking the action of vitamin K, which is essential for the liver to produce several clotting factors. This mechanism means warfarin has a slower onset of action, often taking several days to reach its full effect. Patients may start on heparin and then transition to warfarin.</w:t>
      </w:r>
    </w:p>
    <w:p>
      <w:pPr>
        <w:spacing w:after="140"/>
      </w:pPr>
      <w:r>
        <w:t xml:space="preserve">Warfarin's effects are monitored by a blood test called prothrombin time (PT) and its standardized ratio, the International Normalized Ratio (INR). The INR target range is typically between 2.0 and 3.0 for most conditions. Maintaining a consistent INR requires careful management, as warfarin interacts with many foods (especially those rich in vitamin K, like leafy green vegetables) and numerous other medications. Patients must be taught to maintain a consistent diet and report all other medications or supplements to their healthcare provider. Regular INR monitoring is essential.</w:t>
      </w:r>
    </w:p>
    <w:p>
      <w:pPr>
        <w:spacing w:after="140"/>
      </w:pPr>
      <w:r>
        <w:t xml:space="preserve">Like heparin, the primary side effect of warfarin is bleeding. Patients must be educated on bleeding precautions. The antidote for warfarin overdose is vitamin K, which helps the body produce clotting factors again.</w:t>
      </w:r>
    </w:p>
    <w:p>
      <w:pPr>
        <w:pStyle w:val="Heading4"/>
        <w:spacing w:after="80" w:before="200"/>
      </w:pPr>
      <w:r>
        <w:t xml:space="preserve">Key Differences and Caregiver Role</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Feature</w:t>
            </w:r>
          </w:p>
        </w:tc>
        <w:tc>
          <w:tcPr>
            <w:shd w:fill="EFEFEF" w:val="clear"/>
          </w:tcPr>
          <w:p>
            <w:pPr>
              <w:spacing w:after="40"/>
            </w:pPr>
            <w:r>
              <w:rPr>
                <w:b/>
                <w:bCs/>
              </w:rPr>
              <w:t xml:space="preserve">Heparin</w:t>
            </w:r>
          </w:p>
        </w:tc>
        <w:tc>
          <w:tcPr>
            <w:shd w:fill="EFEFEF" w:val="clear"/>
          </w:tcPr>
          <w:p>
            <w:pPr>
              <w:spacing w:after="40"/>
            </w:pPr>
            <w:r>
              <w:rPr>
                <w:b/>
                <w:bCs/>
              </w:rPr>
              <w:t xml:space="preserve">Warfarin (Coumadin)</w:t>
            </w:r>
          </w:p>
        </w:tc>
      </w:tr>
      <w:tr>
        <w:tc>
          <w:p>
            <w:pPr>
              <w:spacing w:after="40"/>
            </w:pPr>
            <w:r>
              <w:rPr>
                <w:b/>
                <w:bCs/>
              </w:rPr>
              <w:t xml:space="preserve">Route</w:t>
            </w:r>
          </w:p>
        </w:tc>
        <w:tc>
          <w:p>
            <w:pPr>
              <w:spacing w:after="40"/>
            </w:pPr>
            <w:r>
              <w:t xml:space="preserve">IV or Subcutaneous</w:t>
            </w:r>
          </w:p>
        </w:tc>
        <w:tc>
          <w:p>
            <w:pPr>
              <w:spacing w:after="40"/>
            </w:pPr>
            <w:r>
              <w:t xml:space="preserve">Oral</w:t>
            </w:r>
          </w:p>
        </w:tc>
      </w:tr>
      <w:tr>
        <w:tc>
          <w:p>
            <w:pPr>
              <w:spacing w:after="40"/>
            </w:pPr>
            <w:r>
              <w:rPr>
                <w:b/>
                <w:bCs/>
              </w:rPr>
              <w:t xml:space="preserve">Onset</w:t>
            </w:r>
          </w:p>
        </w:tc>
        <w:tc>
          <w:p>
            <w:pPr>
              <w:spacing w:after="40"/>
            </w:pPr>
            <w:r>
              <w:t xml:space="preserve">Rapid (minutes to hours)</w:t>
            </w:r>
          </w:p>
        </w:tc>
        <w:tc>
          <w:p>
            <w:pPr>
              <w:spacing w:after="40"/>
            </w:pPr>
            <w:r>
              <w:t xml:space="preserve">Slow (days)</w:t>
            </w:r>
          </w:p>
        </w:tc>
      </w:tr>
      <w:tr>
        <w:tc>
          <w:p>
            <w:pPr>
              <w:spacing w:after="40"/>
            </w:pPr>
            <w:r>
              <w:rPr>
                <w:b/>
                <w:bCs/>
              </w:rPr>
              <w:t xml:space="preserve">Monitoring</w:t>
            </w:r>
          </w:p>
        </w:tc>
        <w:tc>
          <w:p>
            <w:pPr>
              <w:spacing w:after="40"/>
            </w:pPr>
            <w:r>
              <w:t xml:space="preserve">aPTT</w:t>
            </w:r>
          </w:p>
        </w:tc>
        <w:tc>
          <w:p>
            <w:pPr>
              <w:spacing w:after="40"/>
            </w:pPr>
            <w:r>
              <w:t xml:space="preserve">PT/INR</w:t>
            </w:r>
          </w:p>
        </w:tc>
      </w:tr>
      <w:tr>
        <w:tc>
          <w:p>
            <w:pPr>
              <w:spacing w:after="40"/>
            </w:pPr>
            <w:r>
              <w:rPr>
                <w:b/>
                <w:bCs/>
              </w:rPr>
              <w:t xml:space="preserve">Antidote</w:t>
            </w:r>
          </w:p>
        </w:tc>
        <w:tc>
          <w:p>
            <w:pPr>
              <w:spacing w:after="40"/>
            </w:pPr>
            <w:r>
              <w:t xml:space="preserve">Protamine Sulfate</w:t>
            </w:r>
          </w:p>
        </w:tc>
        <w:tc>
          <w:p>
            <w:pPr>
              <w:spacing w:after="40"/>
            </w:pPr>
            <w:r>
              <w:t xml:space="preserve">Vitamin K</w:t>
            </w:r>
          </w:p>
        </w:tc>
      </w:tr>
      <w:tr>
        <w:tc>
          <w:p>
            <w:pPr>
              <w:spacing w:after="40"/>
            </w:pPr>
            <w:r>
              <w:rPr>
                <w:b/>
                <w:bCs/>
              </w:rPr>
              <w:t xml:space="preserve">Duration</w:t>
            </w:r>
          </w:p>
        </w:tc>
        <w:tc>
          <w:p>
            <w:pPr>
              <w:spacing w:after="40"/>
            </w:pPr>
            <w:r>
              <w:t xml:space="preserve">Short-acting</w:t>
            </w:r>
          </w:p>
        </w:tc>
        <w:tc>
          <w:p>
            <w:pPr>
              <w:spacing w:after="40"/>
            </w:pPr>
            <w:r>
              <w:t xml:space="preserve">Long-acting</w:t>
            </w:r>
          </w:p>
        </w:tc>
      </w:tr>
    </w:tbl>
    <w:p>
      <w:pPr>
        <w:spacing w:after="120"/>
      </w:pPr>
    </w:p>
    <w:p>
      <w:pPr>
        <w:spacing w:after="140"/>
      </w:pPr>
      <w:r>
        <w:t xml:space="preserve">As an aide or caregiver, your role includes observing for signs of bleeding, ensuring medication adherence, and reporting any changes in diet or new medications to the nurse or pharmacist. Promptly report any signs of bleeding or unusual bruising.</w:t>
      </w:r>
    </w:p>
    <w:p>
      <w:pPr>
        <w:pStyle w:val="Heading2"/>
      </w:pPr>
      <w:r>
        <w:t xml:space="preserve">Cardiac Medications: Calcium Channel Blockers and Digoxin</w:t>
      </w:r>
    </w:p>
    <w:p>
      <w:pPr>
        <w:spacing w:after="120"/>
      </w:pPr>
      <w:r>
        <w:rPr>
          <w:rFonts w:ascii="Arial" w:cs="Arial" w:eastAsia="Arial" w:hAnsi="Arial"/>
          <w:color w:val="666666"/>
          <w:sz w:val="15"/>
          <w:szCs w:val="15"/>
        </w:rPr>
        <w:t xml:space="preserve">Covers: Calcium Channel Blockers Mechanism of Action Pharmacology Nursing (Non) Dihydropyridine (video, 15 min) · Digoxin Nursing Pharmacology NCLEX (Cardiac Glycosides) (video, 10 min)</w:t>
      </w:r>
    </w:p>
    <w:p>
      <w:pPr>
        <w:spacing w:after="140"/>
      </w:pPr>
      <w:r>
        <w:t xml:space="preserve">This section covers two other important classes of cardiovascular medications: calcium channel blockers and digoxin. These drugs play distinct roles in managing heart conditions.</w:t>
      </w:r>
    </w:p>
    <w:p>
      <w:pPr>
        <w:pStyle w:val="Heading4"/>
        <w:spacing w:after="80" w:before="200"/>
      </w:pPr>
      <w:r>
        <w:t xml:space="preserve">Calcium Channel Blockers (CCBs)</w:t>
      </w:r>
    </w:p>
    <w:p>
      <w:pPr>
        <w:spacing w:after="140"/>
      </w:pPr>
      <w:r>
        <w:t xml:space="preserve">Calcium channel blockers are a class of medications that relax blood vessels and can slow the heart rate. They work by blocking the entry of calcium into heart muscle cells and the smooth muscle cells of blood vessels. Calcium is necessary for muscle contraction, so blocking its entry causes the muscles to relax.</w:t>
      </w:r>
    </w:p>
    <w:p>
      <w:pPr>
        <w:spacing w:after="140"/>
      </w:pPr>
      <w:r>
        <w:t xml:space="preserve">This relaxation has two main effects: it widens blood vessels (vasodilation), which lowers blood pressure and improves blood flow, and it can decrease the heart's pumping strength and slow its electrical conduction. CCBs are commonly used to treat high blood pressure (hypertension), chest pain (angina), and certain irregular heart rhythms (arrhythmias).</w:t>
      </w:r>
    </w:p>
    <w:p>
      <w:pPr>
        <w:spacing w:after="140"/>
      </w:pPr>
      <w:r>
        <w:t xml:space="preserve">There are two main types of CCBs: dihydropyridines and non-dihydropyridines.</w:t>
      </w:r>
    </w:p>
    <w:p>
      <w:pPr>
        <w:pStyle w:val="ListParagraph"/>
        <w:numPr>
          <w:ilvl w:val="0"/>
          <w:numId w:val="1"/>
        </w:numPr>
        <w:spacing w:after="60"/>
      </w:pPr>
      <w:r>
        <w:rPr>
          <w:b/>
          <w:bCs/>
        </w:rPr>
        <w:t xml:space="preserve">Dihydropyridines</w:t>
      </w:r>
      <w:r>
        <w:t xml:space="preserve"> (e.g., amlodipine, nifedipine) primarily affect blood vessels, causing significant vasodilation. They are often used for hypertension and angina.</w:t>
      </w:r>
    </w:p>
    <w:p>
      <w:pPr>
        <w:pStyle w:val="ListParagraph"/>
        <w:numPr>
          <w:ilvl w:val="0"/>
          <w:numId w:val="1"/>
        </w:numPr>
        <w:spacing w:after="60"/>
      </w:pPr>
      <w:r>
        <w:rPr>
          <w:b/>
          <w:bCs/>
        </w:rPr>
        <w:t xml:space="preserve">Non-dihydropyridines</w:t>
      </w:r>
      <w:r>
        <w:t xml:space="preserve"> (e.g., diltiazem, verapamil) affect both the heart and blood vessels. They are used for hypertension, angina, and to control heart rate in arrhythmias.</w:t>
      </w:r>
    </w:p>
    <w:p>
      <w:pPr>
        <w:spacing w:after="140"/>
      </w:pPr>
      <w:r>
        <w:t xml:space="preserve">Common side effects include headache, dizziness, flushing, swelling in the ankles (edema), and constipation. Serious side effects can include very low blood pressure (hypotension) or a very slow heart rate (bradycardia). As a caregiver, observe for these side effects and report them to a nurse or pharmacist.</w:t>
      </w:r>
    </w:p>
    <w:p>
      <w:pPr>
        <w:pStyle w:val="Heading4"/>
        <w:spacing w:after="80" w:before="200"/>
      </w:pPr>
      <w:r>
        <w:t xml:space="preserve">Digoxin (Cardiac Glycoside)</w:t>
      </w:r>
    </w:p>
    <w:p>
      <w:pPr>
        <w:spacing w:after="140"/>
      </w:pPr>
      <w:r>
        <w:t xml:space="preserve">Digoxin is a cardiac glycoside, a medication with a very specific and powerful effect on the heart. It works by increasing the force of the heart's contractions (making the heart pump more effectively) and by slowing the heart rate. This dual action makes digoxin useful in treating heart failure (to improve pumping efficiency) and certain types of atrial fibrillation (to slow a rapid heart rate).</w:t>
      </w:r>
    </w:p>
    <w:p>
      <w:pPr>
        <w:spacing w:after="140"/>
      </w:pPr>
      <w:r>
        <w:t xml:space="preserve">Digoxin has a narrow therapeutic window, meaning there is a small difference between an effective dose and a toxic dose. This requires careful monitoring. Before administering digoxin, a licensed professional will usually check the patient's apical pulse for a full minute. If the pulse is below 60 beats per minute (or another specific threshold set by the doctor), the dose may be withheld. Blood levels of digoxin are also monitored regularly, along with potassium levels, as low potassium can increase the risk of digoxin toxicity.</w:t>
      </w:r>
    </w:p>
    <w:p>
      <w:pPr>
        <w:spacing w:after="140"/>
      </w:pPr>
      <w:r>
        <w:t xml:space="preserve">Signs of digoxin toxicity can be subtle and include nausea, vomiting, loss of appetite, fatigue, visual disturbances (such as seeing yellow-green halos around lights), and a slow or irregular heart rate. If you observe any of these symptoms, report them immediately to a nurse or pharmacist. Digoxin immune Fab is an antidote used in severe cases of toxicity. Supporting adherence and observing for these specific symptoms are crucial aspects of care for individuals on digoxin.</w:t>
      </w:r>
    </w:p>
    <w:p>
      <w:pPr>
        <w:pStyle w:val="Heading3"/>
      </w:pPr>
      <w:r>
        <w:t xml:space="preserve">Key Takeaways</w:t>
      </w:r>
    </w:p>
    <w:p>
      <w:pPr>
        <w:pStyle w:val="ListParagraph"/>
        <w:numPr>
          <w:ilvl w:val="0"/>
          <w:numId w:val="1"/>
        </w:numPr>
        <w:spacing w:after="60"/>
      </w:pPr>
      <w:r>
        <w:t xml:space="preserve">Ampules are single-dose glass containers that require sterile technique and a filter needle for safe medication withdrawal by licensed professionals.</w:t>
      </w:r>
    </w:p>
    <w:p>
      <w:pPr>
        <w:pStyle w:val="ListParagraph"/>
        <w:numPr>
          <w:ilvl w:val="0"/>
          <w:numId w:val="1"/>
        </w:numPr>
        <w:spacing w:after="60"/>
      </w:pPr>
      <w:r>
        <w:t xml:space="preserve">Heparin is a fast-acting injectable anticoagulant monitored by aPTT, with protamine sulfate as its antidote.</w:t>
      </w:r>
    </w:p>
    <w:p>
      <w:pPr>
        <w:pStyle w:val="ListParagraph"/>
        <w:numPr>
          <w:ilvl w:val="0"/>
          <w:numId w:val="1"/>
        </w:numPr>
        <w:spacing w:after="60"/>
      </w:pPr>
      <w:r>
        <w:t xml:space="preserve">Warfarin is a slower-acting oral anticoagulant monitored by PT/INR, requiring consistent vitamin K intake and having vitamin K as its antidote.</w:t>
      </w:r>
    </w:p>
    <w:p>
      <w:pPr>
        <w:pStyle w:val="ListParagraph"/>
        <w:numPr>
          <w:ilvl w:val="0"/>
          <w:numId w:val="1"/>
        </w:numPr>
        <w:spacing w:after="60"/>
      </w:pPr>
      <w:r>
        <w:t xml:space="preserve">Calcium channel blockers relax blood vessels and can slow heart rate, used for hypertension, angina, and arrhythmias.</w:t>
      </w:r>
    </w:p>
    <w:p>
      <w:pPr>
        <w:pStyle w:val="ListParagraph"/>
        <w:numPr>
          <w:ilvl w:val="0"/>
          <w:numId w:val="1"/>
        </w:numPr>
        <w:spacing w:after="60"/>
      </w:pPr>
      <w:r>
        <w:t xml:space="preserve">Digoxin increases heart contraction strength and slows heart rate, used for heart failure and atrial fibrillation.</w:t>
      </w:r>
    </w:p>
    <w:p>
      <w:pPr>
        <w:pStyle w:val="ListParagraph"/>
        <w:numPr>
          <w:ilvl w:val="0"/>
          <w:numId w:val="1"/>
        </w:numPr>
        <w:spacing w:after="60"/>
      </w:pPr>
      <w:r>
        <w:t xml:space="preserve">Digoxin has a narrow therapeutic window, requiring careful monitoring of apical pulse and blood levels, and vigilance for toxicity symptoms.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a filter needle used when drawing medication from an ampule?</w:t>
      </w:r>
    </w:p>
    <w:p>
      <w:pPr>
        <w:spacing w:after="60"/>
      </w:pPr>
      <w:r>
        <w:t xml:space="preserve">2. </w:t>
      </w:r>
      <w:r>
        <w:t xml:space="preserve">Compare the onset of action and monitoring tests for Heparin and Warfarin.</w:t>
      </w:r>
    </w:p>
    <w:p>
      <w:pPr>
        <w:spacing w:after="60"/>
      </w:pPr>
      <w:r>
        <w:t xml:space="preserve">3. </w:t>
      </w:r>
      <w:r>
        <w:t xml:space="preserve">What are two common uses for Calcium Channel Blockers?</w:t>
      </w:r>
    </w:p>
    <w:p>
      <w:pPr>
        <w:spacing w:after="60"/>
      </w:pPr>
      <w:r>
        <w:t xml:space="preserve">4. </w:t>
      </w:r>
      <w:r>
        <w:t xml:space="preserve">What critical observation should be made before administering Digoxin, and why?</w:t>
      </w:r>
    </w:p>
    <w:p>
      <w:pPr>
        <w:spacing w:after="60"/>
      </w:pPr>
      <w:r>
        <w:t xml:space="preserve">5. </w:t>
      </w:r>
      <w:r>
        <w:t xml:space="preserve">List three signs of potential bleeding that an aide or caregiver should report for a patient on anticoagulants.</w:t>
      </w:r>
    </w:p>
    <w:p>
      <w:pPr>
        <w:spacing w:after="60"/>
      </w:pPr>
      <w:r>
        <w:t xml:space="preserve">6. </w:t>
      </w:r>
      <w:r>
        <w:t xml:space="preserve">What are some signs of Digoxin toxicity that a caregiver should be aware of?</w:t>
      </w:r>
    </w:p>
    <w:p>
      <w:pPr>
        <w:pStyle w:val="Heading1"/>
        <w:pageBreakBefore/>
      </w:pPr>
      <w:r>
        <w:t xml:space="preserve">Chapter 5: Safe Medication Support</w:t>
      </w:r>
    </w:p>
    <w:p>
      <w:pPr>
        <w:spacing w:after="140"/>
      </w:pPr>
      <w:r>
        <w:t xml:space="preserve">This chapter is dedicated to the core principles of safe medication support for aides and caregivers. Your ability to observe, understand, and act appropriately is crucial in preventing medication errors and ensuring the well-being of the person you assist. We will examine the essential 'rights' of medication safety, a critical framework that guides every interaction with medications. We will also identify specific 'red flags' and situations that demand immediate or urgent professional attention, clarifying when and how to seek help. Mastering these guidelines will enable you to provide confident and secure medication support within your professional boundaries.</w:t>
      </w:r>
    </w:p>
    <w:p>
      <w:pPr>
        <w:pStyle w:val="Heading2"/>
      </w:pPr>
      <w:r>
        <w:t xml:space="preserve">The Rights of Medication Safety: Your Essential Checklist</w:t>
      </w:r>
    </w:p>
    <w:p>
      <w:pPr>
        <w:spacing w:after="120"/>
      </w:pPr>
      <w:r>
        <w:rPr>
          <w:rFonts w:ascii="Arial" w:cs="Arial" w:eastAsia="Arial" w:hAnsi="Arial"/>
          <w:color w:val="666666"/>
          <w:sz w:val="15"/>
          <w:szCs w:val="15"/>
        </w:rPr>
        <w:t xml:space="preserve">Covers: The Rights of Medication Safety</w:t>
      </w:r>
    </w:p>
    <w:p>
      <w:pPr>
        <w:spacing w:after="140"/>
      </w:pPr>
      <w:r>
        <w:t xml:space="preserve">Every medication interaction, whether you are assisting or administering, requires a systematic approach to ensure safety. The 'rights of medication administration' serve as a universal checklist, protecting the person receiving the medication. Knowing these rights by heart is fundamental to your role.</w:t>
      </w:r>
    </w:p>
    <w:p>
      <w:pPr>
        <w:pStyle w:val="Heading4"/>
        <w:spacing w:after="80" w:before="200"/>
      </w:pPr>
      <w:r>
        <w:t xml:space="preserve">The Core Rights and Their Importance</w:t>
      </w:r>
    </w:p>
    <w:p>
      <w:pPr>
        <w:pStyle w:val="ListParagraph"/>
        <w:numPr>
          <w:ilvl w:val="0"/>
          <w:numId w:val="2"/>
        </w:numPr>
        <w:spacing w:after="60"/>
      </w:pPr>
      <w:r>
        <w:rPr>
          <w:b/>
          <w:bCs/>
        </w:rPr>
        <w:t xml:space="preserve">Right Person.</w:t>
      </w:r>
      <w:r>
        <w:t xml:space="preserve"> Always confirm the person's identity using two identifiers, such as their name and date of birth. This is especially important in homes where multiple individuals take medications, as mix-ups between family members are a common cause of errors.</w:t>
      </w:r>
    </w:p>
    <w:p>
      <w:pPr>
        <w:pStyle w:val="ListParagraph"/>
        <w:numPr>
          <w:ilvl w:val="0"/>
          <w:numId w:val="2"/>
        </w:numPr>
        <w:spacing w:after="60"/>
      </w:pPr>
      <w:r>
        <w:rPr>
          <w:b/>
          <w:bCs/>
        </w:rPr>
        <w:t xml:space="preserve">Right Medication.</w:t>
      </w:r>
      <w:r>
        <w:t xml:space="preserve"> Read the medication label three times: when you first pick up the container, immediately before preparing the dose, and again when returning the container to storage. Many medications have similar-sounding names, making careful label reading essential to prevent errors.</w:t>
      </w:r>
    </w:p>
    <w:p>
      <w:pPr>
        <w:pStyle w:val="ListParagraph"/>
        <w:numPr>
          <w:ilvl w:val="0"/>
          <w:numId w:val="2"/>
        </w:numPr>
        <w:spacing w:after="60"/>
      </w:pPr>
      <w:r>
        <w:rPr>
          <w:b/>
          <w:bCs/>
        </w:rPr>
        <w:t xml:space="preserve">Right Dose.</w:t>
      </w:r>
      <w:r>
        <w:t xml:space="preserve"> Pay close attention to the strength of the medication, often measured in milligrams (mg). Never rely solely on pill count, as strengths can vary between refills. Do not split or crush tablets unless a pharmacist has confirmed it is safe and appropriate. Extended-release or coated tablets, for example, must never be altered without explicit approval, as doing so can cause the entire dose to be absorbed at once, leading to overdose.</w:t>
      </w:r>
    </w:p>
    <w:p>
      <w:pPr>
        <w:pStyle w:val="ListParagraph"/>
        <w:numPr>
          <w:ilvl w:val="0"/>
          <w:numId w:val="2"/>
        </w:numPr>
        <w:spacing w:after="60"/>
      </w:pPr>
      <w:r>
        <w:rPr>
          <w:b/>
          <w:bCs/>
        </w:rPr>
        <w:t xml:space="preserve">Right Route.</w:t>
      </w:r>
      <w:r>
        <w:t xml:space="preserve"> Medications are designed for specific routes of administration. Oral medications are swallowed. Sublingual medications dissolve under the tongue and are not swallowed. Other common routes include topical (applied to the skin), inhaled, eye drops, ear drops, and injections. If a transdermal patch is used, always remove the old patch before applying a new one, and note the application site.</w:t>
      </w:r>
    </w:p>
    <w:p>
      <w:pPr>
        <w:pStyle w:val="ListParagraph"/>
        <w:numPr>
          <w:ilvl w:val="0"/>
          <w:numId w:val="2"/>
        </w:numPr>
        <w:spacing w:after="60"/>
      </w:pPr>
      <w:r>
        <w:rPr>
          <w:b/>
          <w:bCs/>
        </w:rPr>
        <w:t xml:space="preserve">Right Time.</w:t>
      </w:r>
      <w:r>
        <w:t xml:space="preserve"> Adhere strictly to the prescribed timing. Some medications must be taken 'before meals' for proper absorption, while others are taken 'with food' to prevent stomach upset. Maintaining a consistent schedule is vital, as some drugs, like those for thyroid conditions or Parkinson's disease, are highly time-sensitive.</w:t>
      </w:r>
    </w:p>
    <w:p>
      <w:pPr>
        <w:pStyle w:val="ListParagraph"/>
        <w:numPr>
          <w:ilvl w:val="0"/>
          <w:numId w:val="2"/>
        </w:numPr>
        <w:spacing w:after="60"/>
      </w:pPr>
      <w:r>
        <w:rPr>
          <w:b/>
          <w:bCs/>
        </w:rPr>
        <w:t xml:space="preserve">Right Documentation.</w:t>
      </w:r>
      <w:r>
        <w:t xml:space="preserve"> Record the medication assistance or administration immediately after it occurs, never before. Failing to record a dose can lead to a double dose if another caregiver assumes it was missed.</w:t>
      </w:r>
    </w:p>
    <w:p>
      <w:pPr>
        <w:pStyle w:val="ListParagraph"/>
        <w:numPr>
          <w:ilvl w:val="0"/>
          <w:numId w:val="2"/>
        </w:numPr>
        <w:spacing w:after="60"/>
      </w:pPr>
      <w:r>
        <w:rPr>
          <w:b/>
          <w:bCs/>
        </w:rPr>
        <w:t xml:space="preserve">Right to Refuse.</w:t>
      </w:r>
      <w:r>
        <w:t xml:space="preserve"> Adults have the legal and ethical right to refuse medication. If a person declines a dose, do not attempt to hide the medication in food or drink without explicit clinical and family authorization. Covert dosing carries significant legal and ethical implications. Always report any refusal to the nurse or prescriber.</w:t>
      </w:r>
    </w:p>
    <w:p>
      <w:pPr>
        <w:pStyle w:val="Heading4"/>
        <w:spacing w:after="80" w:before="200"/>
      </w:pPr>
      <w:r>
        <w:t xml:space="preserve">Assisting Versus Administering: Knowing Your Scope</w:t>
      </w:r>
    </w:p>
    <w:p>
      <w:pPr>
        <w:spacing w:after="140"/>
      </w:pPr>
      <w:r>
        <w:t xml:space="preserve">Understanding your legal scope of practice is paramount. Most states differentiate between 'assisting' and 'administering' medications. </w:t>
      </w:r>
      <w:r>
        <w:rPr>
          <w:b/>
          <w:bCs/>
        </w:rPr>
        <w:t xml:space="preserve">Assisting</w:t>
      </w:r>
      <w:r>
        <w:t xml:space="preserve"> typically involves tasks such as reminding the person to take their medication, opening containers, steadying a hand, or handing over a dose that has been pre-poured and the person takes themselves. These actions are generally permissible for unlicensed caregivers. </w:t>
      </w:r>
      <w:r>
        <w:rPr>
          <w:b/>
          <w:bCs/>
        </w:rPr>
        <w:t xml:space="preserve">Administering</w:t>
      </w:r>
      <w:r>
        <w:t xml:space="preserve"> usually involves selecting the dose, placing it in the person's mouth, giving an injection, or making decisions about 'as needed' (PRN) medications. These tasks are typically reserved for licensed healthcare professionals or specially certified medication aides. The precise legal boundary varies by state and care setting. Always know your state's regulations and your employer's policies. When a task feels like it requires a nursing judgment, it likely does. In such cases, contact the nurse or supervisor for guidance.</w:t>
      </w:r>
    </w:p>
    <w:p>
      <w:pPr>
        <w:pStyle w:val="Heading2"/>
      </w:pPr>
      <w:r>
        <w:t xml:space="preserve">Red Flags: When to Stop and Call for Help</w:t>
      </w:r>
    </w:p>
    <w:p>
      <w:pPr>
        <w:spacing w:after="120"/>
      </w:pPr>
      <w:r>
        <w:rPr>
          <w:rFonts w:ascii="Arial" w:cs="Arial" w:eastAsia="Arial" w:hAnsi="Arial"/>
          <w:color w:val="666666"/>
          <w:sz w:val="15"/>
          <w:szCs w:val="15"/>
        </w:rPr>
        <w:t xml:space="preserve">Covers: Red Flags: When to Stop and Call</w:t>
      </w:r>
    </w:p>
    <w:p>
      <w:pPr>
        <w:spacing w:after="140"/>
      </w:pPr>
      <w:r>
        <w:t xml:space="preserve">As a caregiver, you are uniquely positioned to notice changes in the person you support. Your daily observations make you the best early warning system for potential adverse events related to medications. Knowing what is 'normal' for the individual allows you to quickly detect deviations that require professional attention.</w:t>
      </w:r>
    </w:p>
    <w:p>
      <w:pPr>
        <w:pStyle w:val="Heading4"/>
        <w:spacing w:after="80" w:before="200"/>
      </w:pPr>
      <w:r>
        <w:t xml:space="preserve">Call 911 Now: Emergency Situations</w:t>
      </w:r>
    </w:p>
    <w:p>
      <w:pPr>
        <w:spacing w:after="140"/>
      </w:pPr>
      <w:r>
        <w:t xml:space="preserve">Certain signs and symptoms demand an immediate call to 911. These are medical emergencies:</w:t>
      </w:r>
    </w:p>
    <w:p>
      <w:pPr>
        <w:pStyle w:val="ListParagraph"/>
        <w:numPr>
          <w:ilvl w:val="0"/>
          <w:numId w:val="1"/>
        </w:numPr>
        <w:spacing w:after="60"/>
      </w:pPr>
      <w:r>
        <w:rPr>
          <w:b/>
          <w:bCs/>
        </w:rPr>
        <w:t xml:space="preserve">Anaphylaxis:</w:t>
      </w:r>
      <w:r>
        <w:t xml:space="preserve"> This severe allergic reaction presents with hives, swelling of the lips, tongue, or throat, difficulty breathing, or collapse, especially after a new medication. If an epinephrine auto-injector is prescribed, use it immediately, then call 911 regardless.</w:t>
      </w:r>
    </w:p>
    <w:p>
      <w:pPr>
        <w:pStyle w:val="ListParagraph"/>
        <w:numPr>
          <w:ilvl w:val="0"/>
          <w:numId w:val="1"/>
        </w:numPr>
        <w:spacing w:after="60"/>
      </w:pPr>
      <w:r>
        <w:rPr>
          <w:b/>
          <w:bCs/>
        </w:rPr>
        <w:t xml:space="preserve">Sudden severe symptoms:</w:t>
      </w:r>
      <w:r>
        <w:t xml:space="preserve"> New chest pain, a sudden severe headache, one-sided weakness, or acute confusion that develops after medication changes are urgent.</w:t>
      </w:r>
    </w:p>
    <w:p>
      <w:pPr>
        <w:pStyle w:val="ListParagraph"/>
        <w:numPr>
          <w:ilvl w:val="0"/>
          <w:numId w:val="1"/>
        </w:numPr>
        <w:spacing w:after="60"/>
      </w:pPr>
      <w:r>
        <w:rPr>
          <w:b/>
          <w:bCs/>
        </w:rPr>
        <w:t xml:space="preserve">Overdose or wrong-medication events with symptoms:</w:t>
      </w:r>
      <w:r>
        <w:t xml:space="preserve"> If symptoms are present, call 911. If symptoms are absent or mild, call </w:t>
      </w:r>
      <w:r>
        <w:rPr>
          <w:b/>
          <w:bCs/>
        </w:rPr>
        <w:t xml:space="preserve">Poison Control (1-800-222-1222)</w:t>
      </w:r>
      <w:r>
        <w:t xml:space="preserve"> for expert guidance.</w:t>
      </w:r>
    </w:p>
    <w:p>
      <w:pPr>
        <w:pStyle w:val="Heading4"/>
        <w:spacing w:after="80" w:before="200"/>
      </w:pPr>
      <w:r>
        <w:t xml:space="preserve">Call the Nurse or Prescriber Today: Urgent Concerns</w:t>
      </w:r>
    </w:p>
    <w:p>
      <w:pPr>
        <w:spacing w:after="140"/>
      </w:pPr>
      <w:r>
        <w:t xml:space="preserve">These situations require prompt communication with the nurse or prescriber, typically within the same day:</w:t>
      </w:r>
    </w:p>
    <w:p>
      <w:pPr>
        <w:pStyle w:val="ListParagraph"/>
        <w:numPr>
          <w:ilvl w:val="0"/>
          <w:numId w:val="1"/>
        </w:numPr>
        <w:spacing w:after="60"/>
      </w:pPr>
      <w:r>
        <w:rPr>
          <w:b/>
          <w:bCs/>
        </w:rPr>
        <w:t xml:space="preserve">New confusion, drowsiness, or falls:</w:t>
      </w:r>
      <w:r>
        <w:t xml:space="preserve"> Any new onset of confusion, increased drowsiness, or falls after a medication change is a serious concern, particularly with sedatives, sleep aids, opioids, and anticholinergic drugs (including many over-the-counter cold and sleep remedies). In older adults, new confusion should always be investigated as a potential medication effect.</w:t>
      </w:r>
    </w:p>
    <w:p>
      <w:pPr>
        <w:pStyle w:val="ListParagraph"/>
        <w:numPr>
          <w:ilvl w:val="0"/>
          <w:numId w:val="1"/>
        </w:numPr>
        <w:spacing w:after="60"/>
      </w:pPr>
      <w:r>
        <w:rPr>
          <w:b/>
          <w:bCs/>
        </w:rPr>
        <w:t xml:space="preserve">Bleeding signals on blood thinners:</w:t>
      </w:r>
      <w:r>
        <w:t xml:space="preserve"> Watch for unusual bruising, pink or red urine, black tarry stools, bleeding gums, or any fall involving a head impact. Even without obvious symptoms, a head strike while on anticoagulants requires medical evaluation.</w:t>
      </w:r>
    </w:p>
    <w:p>
      <w:pPr>
        <w:pStyle w:val="ListParagraph"/>
        <w:numPr>
          <w:ilvl w:val="0"/>
          <w:numId w:val="1"/>
        </w:numPr>
        <w:spacing w:after="60"/>
      </w:pPr>
      <w:r>
        <w:rPr>
          <w:b/>
          <w:bCs/>
        </w:rPr>
        <w:t xml:space="preserve">Dizziness on standing with blood pressure medications:</w:t>
      </w:r>
      <w:r>
        <w:t xml:space="preserve"> This can indicate low blood pressure and increases the risk of falls. Teach the person to change positions slowly. Report blood pressure readings that fall outside the parameters set by the prescriber.</w:t>
      </w:r>
    </w:p>
    <w:p>
      <w:pPr>
        <w:pStyle w:val="ListParagraph"/>
        <w:numPr>
          <w:ilvl w:val="0"/>
          <w:numId w:val="1"/>
        </w:numPr>
        <w:spacing w:after="60"/>
      </w:pPr>
      <w:r>
        <w:rPr>
          <w:b/>
          <w:bCs/>
        </w:rPr>
        <w:t xml:space="preserve">Blood sugar events with diabetes drugs:</w:t>
      </w:r>
      <w:r>
        <w:t xml:space="preserve"> Report shakiness, sweating, or confusion (signs of low blood sugar). Treat low blood sugar quickly with juice or glucose tablets, then report the event. Repeated high blood sugar readings also require a review of the medication regimen.</w:t>
      </w:r>
    </w:p>
    <w:p>
      <w:pPr>
        <w:pStyle w:val="ListParagraph"/>
        <w:numPr>
          <w:ilvl w:val="0"/>
          <w:numId w:val="1"/>
        </w:numPr>
        <w:spacing w:after="60"/>
      </w:pPr>
      <w:r>
        <w:rPr>
          <w:b/>
          <w:bCs/>
        </w:rPr>
        <w:t xml:space="preserve">New digestive issues:</w:t>
      </w:r>
      <w:r>
        <w:t xml:space="preserve"> Nausea, appetite loss, or new diarrhea or constipation that affects eating or drinking habits should be reported.</w:t>
      </w:r>
    </w:p>
    <w:p>
      <w:pPr>
        <w:pStyle w:val="Heading4"/>
        <w:spacing w:after="80" w:before="200"/>
      </w:pPr>
      <w:r>
        <w:t xml:space="preserve">Interaction Traps in Home Care</w:t>
      </w:r>
    </w:p>
    <w:p>
      <w:pPr>
        <w:spacing w:after="140"/>
      </w:pPr>
      <w:r>
        <w:t xml:space="preserve">Be aware of common medication interactions that can occur with everyday items:</w:t>
      </w:r>
    </w:p>
    <w:p>
      <w:pPr>
        <w:pStyle w:val="ListParagraph"/>
        <w:numPr>
          <w:ilvl w:val="0"/>
          <w:numId w:val="1"/>
        </w:numPr>
        <w:spacing w:after="60"/>
      </w:pPr>
      <w:r>
        <w:rPr>
          <w:b/>
          <w:bCs/>
        </w:rPr>
        <w:t xml:space="preserve">Grapefruit juice:</w:t>
      </w:r>
      <w:r>
        <w:t xml:space="preserve"> This juice can interfere with the metabolism of certain statins, blood pressure medications, and other drugs. Always ask the pharmacist if grapefruit juice is safe with specific medications.</w:t>
      </w:r>
    </w:p>
    <w:p>
      <w:pPr>
        <w:pStyle w:val="ListParagraph"/>
        <w:numPr>
          <w:ilvl w:val="0"/>
          <w:numId w:val="1"/>
        </w:numPr>
        <w:spacing w:after="60"/>
      </w:pPr>
      <w:r>
        <w:rPr>
          <w:b/>
          <w:bCs/>
        </w:rPr>
        <w:t xml:space="preserve">Alcohol:</w:t>
      </w:r>
      <w:r>
        <w:t xml:space="preserve"> Alcohol significantly amplifies the effects of sedatives, opioids, and sleep medications. This combination is a leading cause of accidental overdose, especially in older adults.</w:t>
      </w:r>
    </w:p>
    <w:p>
      <w:pPr>
        <w:pStyle w:val="ListParagraph"/>
        <w:numPr>
          <w:ilvl w:val="0"/>
          <w:numId w:val="1"/>
        </w:numPr>
        <w:spacing w:after="60"/>
      </w:pPr>
      <w:r>
        <w:rPr>
          <w:b/>
          <w:bCs/>
        </w:rPr>
        <w:t xml:space="preserve">NSAIDs (nonsteroidal anti-inflammatory drugs):</w:t>
      </w:r>
      <w:r>
        <w:t xml:space="preserve"> Medications like ibuprofen and naproxen can be problematic when combined with blood thinners, in individuals with kidney disease, or with certain blood pressure medications. Older adults should use NSAIDs only with a healthcare provider's explicit approval.</w:t>
      </w:r>
    </w:p>
    <w:p>
      <w:pPr>
        <w:pStyle w:val="ListParagraph"/>
        <w:numPr>
          <w:ilvl w:val="0"/>
          <w:numId w:val="1"/>
        </w:numPr>
        <w:spacing w:after="60"/>
      </w:pPr>
      <w:r>
        <w:rPr>
          <w:b/>
          <w:bCs/>
        </w:rPr>
        <w:t xml:space="preserve">Duplicate ingredients:</w:t>
      </w:r>
      <w:r>
        <w:t xml:space="preserve"> Many over-the-counter cold remedies, pain relievers, and sleep aids contain ingredients like acetaminophen or diphenhydramine. These can duplicate ingredients already present in prescribed medications, leading to accidental overdose. Always check labels and total the amount of active ingredients, especially acetaminophen, which is found in many products.</w:t>
      </w:r>
    </w:p>
    <w:p>
      <w:pPr>
        <w:pStyle w:val="Heading4"/>
        <w:spacing w:after="80" w:before="200"/>
      </w:pPr>
      <w:r>
        <w:t xml:space="preserve">Your Single Best Tool: The Brown-Bag Review</w:t>
      </w:r>
    </w:p>
    <w:p>
      <w:pPr>
        <w:spacing w:after="140"/>
      </w:pPr>
      <w:r>
        <w:t xml:space="preserve">To proactively prevent medication issues, encourage the use of a single pharmacy for all prescriptions. Also, schedule an annual 'brown-bag review.' This involves gathering every prescription bottle, over-the-counter product, and supplement the person uses into a bag and having a pharmacist or prescriber review them all. Brown-bag reviews frequently uncover duplicate medications, expired drugs, and instances where one medication is being used to treat the side effects of another (the prescribing cascade), which can quietly increase the number of medications over time.</w:t>
      </w:r>
    </w:p>
    <w:p>
      <w:pPr>
        <w:pStyle w:val="Heading3"/>
      </w:pPr>
      <w:r>
        <w:t xml:space="preserve">Key Takeaways</w:t>
      </w:r>
    </w:p>
    <w:p>
      <w:pPr>
        <w:pStyle w:val="ListParagraph"/>
        <w:numPr>
          <w:ilvl w:val="0"/>
          <w:numId w:val="1"/>
        </w:numPr>
        <w:spacing w:after="60"/>
      </w:pPr>
      <w:r>
        <w:t xml:space="preserve">The 7 Rights of Medication Safety (person, medication, dose, route, time, documentation, refusal) are a critical checklist for preventing errors.</w:t>
      </w:r>
    </w:p>
    <w:p>
      <w:pPr>
        <w:pStyle w:val="ListParagraph"/>
        <w:numPr>
          <w:ilvl w:val="0"/>
          <w:numId w:val="1"/>
        </w:numPr>
        <w:spacing w:after="60"/>
      </w:pPr>
      <w:r>
        <w:t xml:space="preserve">Understand your legal scope: 'assisting' is generally permitted for aides, while 'administering' is reserved for licensed staff.</w:t>
      </w:r>
    </w:p>
    <w:p>
      <w:pPr>
        <w:pStyle w:val="ListParagraph"/>
        <w:numPr>
          <w:ilvl w:val="0"/>
          <w:numId w:val="1"/>
        </w:numPr>
        <w:spacing w:after="60"/>
      </w:pPr>
      <w:r>
        <w:t xml:space="preserve">Always confirm identity with two identifiers and read medication labels three times to prevent mix-ups.</w:t>
      </w:r>
    </w:p>
    <w:p>
      <w:pPr>
        <w:pStyle w:val="ListParagraph"/>
        <w:numPr>
          <w:ilvl w:val="0"/>
          <w:numId w:val="1"/>
        </w:numPr>
        <w:spacing w:after="60"/>
      </w:pPr>
      <w:r>
        <w:t xml:space="preserve">Never split or crush medications unless explicitly approved by a pharmacist, especially for extended-release or coated tablets.</w:t>
      </w:r>
    </w:p>
    <w:p>
      <w:pPr>
        <w:pStyle w:val="ListParagraph"/>
        <w:numPr>
          <w:ilvl w:val="0"/>
          <w:numId w:val="1"/>
        </w:numPr>
        <w:spacing w:after="60"/>
      </w:pPr>
      <w:r>
        <w:t xml:space="preserve">Recognize emergency red flags like anaphylaxis, sudden severe symptoms, or overdose, which require an immediate 911 call.</w:t>
      </w:r>
    </w:p>
    <w:p>
      <w:pPr>
        <w:pStyle w:val="ListParagraph"/>
        <w:numPr>
          <w:ilvl w:val="0"/>
          <w:numId w:val="1"/>
        </w:numPr>
        <w:spacing w:after="60"/>
      </w:pPr>
      <w:r>
        <w:t xml:space="preserve">Report urgent red flags like new confusion, bleeding on blood thinners, or dizziness on standing to the nurse or prescriber today.</w:t>
      </w:r>
    </w:p>
    <w:p>
      <w:pPr>
        <w:pStyle w:val="ListParagraph"/>
        <w:numPr>
          <w:ilvl w:val="0"/>
          <w:numId w:val="1"/>
        </w:numPr>
        <w:spacing w:after="60"/>
      </w:pPr>
      <w:r>
        <w:t xml:space="preserve">Be aware of common interaction traps involving grapefruit juice, alcohol, NSAIDs, and duplicate ingredients in over-the-counter products.</w:t>
      </w:r>
    </w:p>
    <w:p>
      <w:pPr>
        <w:pStyle w:val="ListParagraph"/>
        <w:numPr>
          <w:ilvl w:val="0"/>
          <w:numId w:val="1"/>
        </w:numPr>
        <w:spacing w:after="60"/>
      </w:pPr>
      <w:r>
        <w:t xml:space="preserve">Utilize a single pharmacy and conduct an annual 'brown-bag review' with a pharmacist to identify potential medication issues.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A person you assist is prescribed a new medication. What three times should you read the label to ensure it is the right medication?</w:t>
      </w:r>
    </w:p>
    <w:p>
      <w:pPr>
        <w:spacing w:after="60"/>
      </w:pPr>
      <w:r>
        <w:t xml:space="preserve">2. </w:t>
      </w:r>
      <w:r>
        <w:t xml:space="preserve">The person you care for refuses to take their evening blood pressure medication. What is your appropriate action?</w:t>
      </w:r>
    </w:p>
    <w:p>
      <w:pPr>
        <w:spacing w:after="60"/>
      </w:pPr>
      <w:r>
        <w:t xml:space="preserve">3. </w:t>
      </w:r>
      <w:r>
        <w:t xml:space="preserve">You notice the person you assist has developed new confusion and increased drowsiness after starting a new sleep aid. What should you do?</w:t>
      </w:r>
    </w:p>
    <w:p>
      <w:pPr>
        <w:spacing w:after="60"/>
      </w:pPr>
      <w:r>
        <w:t xml:space="preserve">4. </w:t>
      </w:r>
      <w:r>
        <w:t xml:space="preserve">The person you assist is on a blood thinner and experiences a fall, hitting their head. They seem fine, but what action is necessary?</w:t>
      </w:r>
    </w:p>
    <w:p>
      <w:pPr>
        <w:spacing w:after="60"/>
      </w:pPr>
      <w:r>
        <w:t xml:space="preserve">5. </w:t>
      </w:r>
      <w:r>
        <w:t xml:space="preserve">What is the purpose of a 'brown-bag review,' and who typically conducts it?</w:t>
      </w:r>
    </w:p>
    <w:p>
      <w:pPr>
        <w:pStyle w:val="Heading1"/>
        <w:pageBreakBefore/>
      </w:pPr>
      <w:r>
        <w:t xml:space="preserve">Chapter 6: Medication Safety Handout</w:t>
      </w:r>
    </w:p>
    <w:p>
      <w:pPr>
        <w:spacing w:after="140"/>
      </w:pPr>
      <w:r>
        <w:t xml:space="preserve">This chapter focuses on a vital resource: the Medication Safety Handout. This official guide from the National Institute on Aging (NIA) provides practical tips for managing medications safely, especially for older adults. As an aide or caregiver, understanding and utilizing such resources is crucial for reinforcing the medication safety principles learned throughout this course.</w:t>
      </w:r>
    </w:p>
    <w:p>
      <w:pPr>
        <w:spacing w:after="140"/>
      </w:pPr>
      <w:r>
        <w:t xml:space="preserve">This downloadable handout is designed to be a quick reference. It helps you apply the knowledge of medication rights, routes, forms, timing, and side effects in real-world caregiving situations. Treat this chapter as an opportunity to consolidate your learning and identify any areas where further review might be beneficial.</w:t>
      </w:r>
    </w:p>
    <w:p>
      <w:pPr>
        <w:pStyle w:val="Heading2"/>
      </w:pPr>
      <w:r>
        <w:t xml:space="preserve">Using the Medication Safety Handout</w:t>
      </w:r>
    </w:p>
    <w:p>
      <w:pPr>
        <w:spacing w:after="120"/>
      </w:pPr>
      <w:r>
        <w:rPr>
          <w:rFonts w:ascii="Arial" w:cs="Arial" w:eastAsia="Arial" w:hAnsi="Arial"/>
          <w:color w:val="666666"/>
          <w:sz w:val="15"/>
          <w:szCs w:val="15"/>
        </w:rPr>
        <w:t xml:space="preserve">Covers: Tips for Taking Medicines Safely As You Age (downloadable resource, 10 min)</w:t>
      </w:r>
    </w:p>
    <w:p>
      <w:pPr>
        <w:spacing w:after="140"/>
      </w:pPr>
      <w:r>
        <w:t xml:space="preserve">Module 6 provides you with a direct link to the NIA's official guide, "Tips for Taking Medicines Safely As You Age." This resource is not a video lesson or a quiz. It is a practical document intended for ongoing reference and study.</w:t>
      </w:r>
    </w:p>
    <w:p>
      <w:pPr>
        <w:pStyle w:val="Heading4"/>
        <w:spacing w:after="80" w:before="200"/>
      </w:pPr>
      <w:r>
        <w:t xml:space="preserve">What You Should Have Mastered By Now</w:t>
      </w:r>
    </w:p>
    <w:p>
      <w:pPr>
        <w:spacing w:after="140"/>
      </w:pPr>
      <w:r>
        <w:t xml:space="preserve">By this point in the course, you should have a solid understanding of the core principles of medication safety. This includes the 'rights' of medication administration, common medication routes and forms, rules for medication timing, how to spot potential side effects and interactions, and strategies to support medication adherence. The handout helps you apply these broad concepts to the specific needs of older adults.</w:t>
      </w:r>
    </w:p>
    <w:p>
      <w:pPr>
        <w:pStyle w:val="Heading4"/>
        <w:spacing w:after="80" w:before="200"/>
      </w:pPr>
      <w:r>
        <w:t xml:space="preserve">How to Attack This Resource</w:t>
      </w:r>
    </w:p>
    <w:p>
      <w:pPr>
        <w:spacing w:after="140"/>
      </w:pPr>
      <w:r>
        <w:t xml:space="preserve">Approach this handout as a practical application guide. Do not just skim it. Read through each tip carefully. Consider how each piece of advice relates to the medication safety 'rights' you have already learned. For example, a tip about keeping a medication list directly supports the 'Right Medication' and 'Right Dose' principles. Highlight information that seems particularly relevant to your caregiving role or to individuals you assist.</w:t>
      </w:r>
    </w:p>
    <w:p>
      <w:pPr>
        <w:spacing w:after="140"/>
      </w:pPr>
      <w:r>
        <w:t xml:space="preserve">Think about </w:t>
      </w:r>
      <w:r>
        <w:rPr>
          <w:i/>
          <w:iCs/>
        </w:rPr>
        <w:t xml:space="preserve">why</w:t>
      </w:r>
      <w:r>
        <w:t xml:space="preserve"> each tip is important. Why should medicines be stored in their original containers? Why is it crucial to discuss all medications, including over-the-counter (OTC) drugs and supplements, with a healthcare provider? Connecting these tips to the underlying safety principles will deepen your understanding.</w:t>
      </w:r>
    </w:p>
    <w:p>
      <w:pPr>
        <w:pStyle w:val="Heading4"/>
        <w:spacing w:after="80" w:before="200"/>
      </w:pPr>
      <w:r>
        <w:t xml:space="preserve">Common Mistakes and How to Avoid Them</w:t>
      </w:r>
    </w:p>
    <w:p>
      <w:pPr>
        <w:spacing w:after="140"/>
      </w:pPr>
      <w:r>
        <w:t xml:space="preserve">One common mistake is treating the handout as a simple checklist without truly understanding the rationale behind each tip. Another error is assuming all information is completely new. Many tips will reinforce concepts you have already covered. Instead, use it to solidify your knowledge and see how different safety elements work together in practice.</w:t>
      </w:r>
    </w:p>
    <w:p>
      <w:pPr>
        <w:spacing w:after="140"/>
      </w:pPr>
      <w:r>
        <w:t xml:space="preserve">Do not hesitate to make notes on the handout itself or in a separate notebook. If a tip raises a question or seems unclear, make a note to discuss it with your supervising nurse or to review relevant sections of this study guide.</w:t>
      </w:r>
    </w:p>
    <w:p>
      <w:pPr>
        <w:pStyle w:val="Heading4"/>
        <w:spacing w:after="80" w:before="200"/>
      </w:pPr>
      <w:r>
        <w:t xml:space="preserve">Interpreting Your 'Results'</w:t>
      </w:r>
    </w:p>
    <w:p>
      <w:pPr>
        <w:spacing w:after="140"/>
      </w:pPr>
      <w:r>
        <w:t xml:space="preserve">Since this is a resource, there are no 'results' in the traditional sense of a quiz. Your success is measured by your ability to integrate the handout's advice into your daily caregiving practices. After reviewing the handout, ask yourself:</w:t>
      </w:r>
    </w:p>
    <w:p>
      <w:pPr>
        <w:pStyle w:val="ListParagraph"/>
        <w:numPr>
          <w:ilvl w:val="0"/>
          <w:numId w:val="1"/>
        </w:numPr>
        <w:spacing w:after="60"/>
      </w:pPr>
      <w:r>
        <w:t xml:space="preserve">Do I understand why each tip is important?</w:t>
      </w:r>
    </w:p>
    <w:p>
      <w:pPr>
        <w:pStyle w:val="ListParagraph"/>
        <w:numPr>
          <w:ilvl w:val="0"/>
          <w:numId w:val="1"/>
        </w:numPr>
        <w:spacing w:after="60"/>
      </w:pPr>
      <w:r>
        <w:t xml:space="preserve">Can I explain how these tips help ensure medication safety for older adults?</w:t>
      </w:r>
    </w:p>
    <w:p>
      <w:pPr>
        <w:pStyle w:val="ListParagraph"/>
        <w:numPr>
          <w:ilvl w:val="0"/>
          <w:numId w:val="1"/>
        </w:numPr>
        <w:spacing w:after="60"/>
      </w:pPr>
      <w:r>
        <w:t xml:space="preserve">Are there any areas where my understanding is still weak?</w:t>
      </w:r>
    </w:p>
    <w:p>
      <w:pPr>
        <w:pStyle w:val="ListParagraph"/>
        <w:numPr>
          <w:ilvl w:val="0"/>
          <w:numId w:val="1"/>
        </w:numPr>
        <w:spacing w:after="60"/>
      </w:pPr>
      <w:r>
        <w:t xml:space="preserve">How can I apply these tips to the specific individuals I care for?</w:t>
      </w:r>
    </w:p>
    <w:p>
      <w:pPr>
        <w:spacing w:after="140"/>
      </w:pPr>
      <w:r>
        <w:t xml:space="preserve">Use this handout as a living document. Refer to it regularly, especially when you encounter new medication challenges or when assisting a new client. It is a valuable tool for promoting safe and effective medication management.</w:t>
      </w:r>
    </w:p>
    <w:p>
      <w:pPr>
        <w:pStyle w:val="Heading3"/>
      </w:pPr>
      <w:r>
        <w:t xml:space="preserve">Key Takeaways</w:t>
      </w:r>
    </w:p>
    <w:p>
      <w:pPr>
        <w:pStyle w:val="ListParagraph"/>
        <w:numPr>
          <w:ilvl w:val="0"/>
          <w:numId w:val="1"/>
        </w:numPr>
        <w:spacing w:after="60"/>
      </w:pPr>
      <w:r>
        <w:t xml:space="preserve">The Medication Safety Handout provides practical, actionable tips for safe medication management in older adults.</w:t>
      </w:r>
    </w:p>
    <w:p>
      <w:pPr>
        <w:pStyle w:val="ListParagraph"/>
        <w:numPr>
          <w:ilvl w:val="0"/>
          <w:numId w:val="1"/>
        </w:numPr>
        <w:spacing w:after="60"/>
      </w:pPr>
      <w:r>
        <w:t xml:space="preserve">This resource reinforces the core medication safety principles learned throughout the course.</w:t>
      </w:r>
    </w:p>
    <w:p>
      <w:pPr>
        <w:pStyle w:val="ListParagraph"/>
        <w:numPr>
          <w:ilvl w:val="0"/>
          <w:numId w:val="1"/>
        </w:numPr>
        <w:spacing w:after="60"/>
      </w:pPr>
      <w:r>
        <w:t xml:space="preserve">Caregivers should actively read and connect the handout's advice to the 'rights' of medication administration.</w:t>
      </w:r>
    </w:p>
    <w:p>
      <w:pPr>
        <w:pStyle w:val="ListParagraph"/>
        <w:numPr>
          <w:ilvl w:val="0"/>
          <w:numId w:val="1"/>
        </w:numPr>
        <w:spacing w:after="60"/>
      </w:pPr>
      <w:r>
        <w:t xml:space="preserve">Understanding the 'why' behind each safety tip is crucial for effective application.</w:t>
      </w:r>
    </w:p>
    <w:p>
      <w:pPr>
        <w:pStyle w:val="ListParagraph"/>
        <w:numPr>
          <w:ilvl w:val="0"/>
          <w:numId w:val="1"/>
        </w:numPr>
        <w:spacing w:after="60"/>
      </w:pPr>
      <w:r>
        <w:t xml:space="preserve">Older adults often face unique challenges like polypharmacy and memory issues, which the handout addresses.</w:t>
      </w:r>
    </w:p>
    <w:p>
      <w:pPr>
        <w:pStyle w:val="ListParagraph"/>
        <w:numPr>
          <w:ilvl w:val="0"/>
          <w:numId w:val="1"/>
        </w:numPr>
        <w:spacing w:after="60"/>
      </w:pPr>
      <w:r>
        <w:t xml:space="preserve">The handout serves as a valuable reference tool for ongoing learning and daily caregiving practice.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a dedicated medication safety handout for older adults particularly useful for aides and caregivers?</w:t>
      </w:r>
    </w:p>
    <w:p>
      <w:pPr>
        <w:spacing w:after="60"/>
      </w:pPr>
      <w:r>
        <w:t xml:space="preserve">2. </w:t>
      </w:r>
      <w:r>
        <w:t xml:space="preserve">What are two common challenges older adults might face with their medications that are addressed in the handout?</w:t>
      </w:r>
    </w:p>
    <w:p>
      <w:pPr>
        <w:spacing w:after="60"/>
      </w:pPr>
      <w:r>
        <w:t xml:space="preserve">3. </w:t>
      </w:r>
      <w:r>
        <w:t xml:space="preserve">How can a caregiver use this handout to improve medication adherence for a client?</w:t>
      </w:r>
    </w:p>
    <w:p>
      <w:pPr>
        <w:spacing w:after="60"/>
      </w:pPr>
      <w:r>
        <w:t xml:space="preserve">4. </w:t>
      </w:r>
      <w:r>
        <w:t xml:space="preserve">When reviewing the handout, what should you do if a specific tip seems unclear or raises a question for you?</w:t>
      </w:r>
    </w:p>
    <w:p>
      <w:pPr>
        <w:spacing w:after="60"/>
      </w:pPr>
      <w:r>
        <w:t xml:space="preserve">5. </w:t>
      </w:r>
      <w:r>
        <w:t xml:space="preserve">Name one 'right of medication safety' that is strongly supported by the advice in the handout, and explain how.</w:t>
      </w:r>
    </w:p>
    <w:p>
      <w:pPr>
        <w:pStyle w:val="Heading1"/>
        <w:pageBreakBefore/>
      </w:pPr>
      <w:r>
        <w:t xml:space="preserve">Chapter 7: Final Assessment: Medication Basics</w:t>
      </w:r>
    </w:p>
    <w:p>
      <w:pPr>
        <w:spacing w:after="140"/>
      </w:pPr>
      <w:r>
        <w:t xml:space="preserve">This chapter prepares you for the final assessment of the "Medication Basics for Aides &amp; Caregivers" course. This quiz is designed to evaluate your understanding of all the material covered in the previous modules. It provides an opportunity to confirm your grasp of medication safety, common routes, potential side effects, and your role in supporting medication adherence.</w:t>
      </w:r>
    </w:p>
    <w:p>
      <w:pPr>
        <w:spacing w:after="140"/>
      </w:pPr>
      <w:r>
        <w:t xml:space="preserve">Use this assessment as a valuable learning tool. It will help you identify your strengths and pinpoint any specific areas where you might need further review. Approaching the quiz strategically and understanding how to interpret your results will maximize its benefit to your learning.</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Medication Basics (quiz, 5 min)</w:t>
      </w:r>
    </w:p>
    <w:p>
      <w:pPr>
        <w:pStyle w:val="Heading4"/>
        <w:spacing w:after="80" w:before="200"/>
      </w:pPr>
      <w:r>
        <w:t xml:space="preserve">What You Should Have Mastered</w:t>
      </w:r>
    </w:p>
    <w:p>
      <w:pPr>
        <w:spacing w:after="140"/>
      </w:pPr>
      <w:r>
        <w:t xml:space="preserve">By completing the previous modules, you should have developed a solid understanding of the core principles of medication assistance. You should now be able to:</w:t>
      </w:r>
    </w:p>
    <w:p>
      <w:pPr>
        <w:pStyle w:val="ListParagraph"/>
        <w:numPr>
          <w:ilvl w:val="0"/>
          <w:numId w:val="1"/>
        </w:numPr>
        <w:spacing w:after="60"/>
      </w:pPr>
      <w:r>
        <w:t xml:space="preserve">Explain the "Rights" of medication safety and their importance in preventing errors. This includes the Right Patient, Right Drug, Right Dose, Right Route, Right Time, Right Documentation, Right Reason, Right Response, and the Right to Refuse.</w:t>
      </w:r>
    </w:p>
    <w:p>
      <w:pPr>
        <w:pStyle w:val="ListParagraph"/>
        <w:numPr>
          <w:ilvl w:val="0"/>
          <w:numId w:val="1"/>
        </w:numPr>
        <w:spacing w:after="60"/>
      </w:pPr>
      <w:r>
        <w:t xml:space="preserve">Recognize common medication routes (e.g., oral, topical, inhaled) and various medication forms (e.g., tablets, creams, drops, patches).</w:t>
      </w:r>
    </w:p>
    <w:p>
      <w:pPr>
        <w:pStyle w:val="ListParagraph"/>
        <w:numPr>
          <w:ilvl w:val="0"/>
          <w:numId w:val="1"/>
        </w:numPr>
        <w:spacing w:after="60"/>
      </w:pPr>
      <w:r>
        <w:t xml:space="preserve">Understand basic medication timing rules, such as once daily, twice daily, or as needed.</w:t>
      </w:r>
    </w:p>
    <w:p>
      <w:pPr>
        <w:pStyle w:val="ListParagraph"/>
        <w:numPr>
          <w:ilvl w:val="0"/>
          <w:numId w:val="1"/>
        </w:numPr>
        <w:spacing w:after="60"/>
      </w:pPr>
      <w:r>
        <w:t xml:space="preserve">Identify common side effects and potential adverse reactions to medications.</w:t>
      </w:r>
    </w:p>
    <w:p>
      <w:pPr>
        <w:pStyle w:val="ListParagraph"/>
        <w:numPr>
          <w:ilvl w:val="0"/>
          <w:numId w:val="1"/>
        </w:numPr>
        <w:spacing w:after="60"/>
      </w:pPr>
      <w:r>
        <w:t xml:space="preserve">Recognize signs of drug interactions that require immediate attention from a nurse or pharmacist.</w:t>
      </w:r>
    </w:p>
    <w:p>
      <w:pPr>
        <w:pStyle w:val="ListParagraph"/>
        <w:numPr>
          <w:ilvl w:val="0"/>
          <w:numId w:val="1"/>
        </w:numPr>
        <w:spacing w:after="60"/>
      </w:pPr>
      <w:r>
        <w:t xml:space="preserve">Clearly understand your legal scope of practice as an aide or caregiver when assisting with medications.</w:t>
      </w:r>
    </w:p>
    <w:p>
      <w:pPr>
        <w:pStyle w:val="ListParagraph"/>
        <w:numPr>
          <w:ilvl w:val="0"/>
          <w:numId w:val="1"/>
        </w:numPr>
        <w:spacing w:after="60"/>
      </w:pPr>
      <w:r>
        <w:t xml:space="preserve">Apply practical strategies to support medication adherence for those in your care.</w:t>
      </w:r>
    </w:p>
    <w:p>
      <w:pPr>
        <w:pStyle w:val="Heading4"/>
        <w:spacing w:after="80" w:before="200"/>
      </w:pPr>
      <w:r>
        <w:t xml:space="preserve">How to Approach the Quiz</w:t>
      </w:r>
    </w:p>
    <w:p>
      <w:pPr>
        <w:spacing w:after="140"/>
      </w:pPr>
      <w:r>
        <w:t xml:space="preserve">The final assessment is a knowledge-check quiz. It tests your comprehension of the entire course material. To perform your best and learn effectively, follow these steps:</w:t>
      </w:r>
    </w:p>
    <w:p>
      <w:pPr>
        <w:pStyle w:val="ListParagraph"/>
        <w:numPr>
          <w:ilvl w:val="0"/>
          <w:numId w:val="2"/>
        </w:numPr>
        <w:spacing w:after="60"/>
      </w:pPr>
      <w:r>
        <w:rPr>
          <w:b/>
          <w:bCs/>
        </w:rPr>
        <w:t xml:space="preserve">Read Each Question Carefully:</w:t>
      </w:r>
      <w:r>
        <w:t xml:space="preserve"> Pay close attention to keywords and all details in each question. Do not assume information that is not explicitly provided.</w:t>
      </w:r>
    </w:p>
    <w:p>
      <w:pPr>
        <w:pStyle w:val="ListParagraph"/>
        <w:numPr>
          <w:ilvl w:val="0"/>
          <w:numId w:val="2"/>
        </w:numPr>
        <w:spacing w:after="60"/>
      </w:pPr>
      <w:r>
        <w:rPr>
          <w:b/>
          <w:bCs/>
        </w:rPr>
        <w:t xml:space="preserve">Consider All Options:</w:t>
      </w:r>
      <w:r>
        <w:t xml:space="preserve"> Before selecting an answer, read every choice thoroughly. Some options may seem plausible but are not the best or most accurate response.</w:t>
      </w:r>
    </w:p>
    <w:p>
      <w:pPr>
        <w:pStyle w:val="ListParagraph"/>
        <w:numPr>
          <w:ilvl w:val="0"/>
          <w:numId w:val="2"/>
        </w:numPr>
        <w:spacing w:after="60"/>
      </w:pPr>
      <w:r>
        <w:rPr>
          <w:b/>
          <w:bCs/>
        </w:rPr>
        <w:t xml:space="preserve">Eliminate Incorrect Answers:</w:t>
      </w:r>
      <w:r>
        <w:t xml:space="preserve"> Rule out options that are clearly wrong. This strategy can help you narrow down the choices to the most likely correct answer.</w:t>
      </w:r>
    </w:p>
    <w:p>
      <w:pPr>
        <w:pStyle w:val="ListParagraph"/>
        <w:numPr>
          <w:ilvl w:val="0"/>
          <w:numId w:val="2"/>
        </w:numPr>
        <w:spacing w:after="60"/>
      </w:pPr>
      <w:r>
        <w:rPr>
          <w:b/>
          <w:bCs/>
        </w:rPr>
        <w:t xml:space="preserve">Apply the "Rights":</w:t>
      </w:r>
      <w:r>
        <w:t xml:space="preserve"> Many questions will relate directly to the medication "Rights." Use these principles as your primary guide for safe and correct actions.</w:t>
      </w:r>
    </w:p>
    <w:p>
      <w:pPr>
        <w:pStyle w:val="ListParagraph"/>
        <w:numPr>
          <w:ilvl w:val="0"/>
          <w:numId w:val="2"/>
        </w:numPr>
        <w:spacing w:after="60"/>
      </w:pPr>
      <w:r>
        <w:rPr>
          <w:b/>
          <w:bCs/>
        </w:rPr>
        <w:t xml:space="preserve">Think Clinically:</w:t>
      </w:r>
      <w:r>
        <w:t xml:space="preserve"> Imagine yourself in a real-world caregiving situation. What is the safest, most appropriate, and legally compliant action to take?</w:t>
      </w:r>
    </w:p>
    <w:p>
      <w:pPr>
        <w:pStyle w:val="ListParagraph"/>
        <w:numPr>
          <w:ilvl w:val="0"/>
          <w:numId w:val="2"/>
        </w:numPr>
        <w:spacing w:after="60"/>
      </w:pPr>
      <w:r>
        <w:rPr>
          <w:b/>
          <w:bCs/>
        </w:rPr>
        <w:t xml:space="preserve">Do Not Rush:</w:t>
      </w:r>
      <w:r>
        <w:t xml:space="preserve"> Take your time to process each question and its options. There is no benefit to finishing early if it leads to careless mistakes.</w:t>
      </w:r>
    </w:p>
    <w:p>
      <w:pPr>
        <w:pStyle w:val="Heading4"/>
        <w:spacing w:after="80" w:before="200"/>
      </w:pPr>
      <w:r>
        <w:t xml:space="preserve">Common Mistakes to Avoid</w:t>
      </w:r>
    </w:p>
    <w:p>
      <w:pPr>
        <w:spacing w:after="140"/>
      </w:pPr>
      <w:r>
        <w:t xml:space="preserve">When taking quizzes on medication basics, students often make similar errors. Being aware of these common pitfalls can help you avoid them:</w:t>
      </w:r>
    </w:p>
    <w:p>
      <w:pPr>
        <w:pStyle w:val="ListParagraph"/>
        <w:numPr>
          <w:ilvl w:val="0"/>
          <w:numId w:val="1"/>
        </w:numPr>
        <w:spacing w:after="60"/>
      </w:pPr>
      <w:r>
        <w:rPr>
          <w:b/>
          <w:bCs/>
        </w:rPr>
        <w:t xml:space="preserve">Misinterpreting Scenarios:</w:t>
      </w:r>
      <w:r>
        <w:t xml:space="preserve"> Read the scenario precisely. Small details can significantly change the correct action or response required.</w:t>
      </w:r>
    </w:p>
    <w:p>
      <w:pPr>
        <w:pStyle w:val="ListParagraph"/>
        <w:numPr>
          <w:ilvl w:val="0"/>
          <w:numId w:val="1"/>
        </w:numPr>
        <w:spacing w:after="60"/>
      </w:pPr>
      <w:r>
        <w:rPr>
          <w:b/>
          <w:bCs/>
        </w:rPr>
        <w:t xml:space="preserve">Forgetting a "Right":</w:t>
      </w:r>
      <w:r>
        <w:t xml:space="preserve"> Ensure your chosen action aligns with all applicable medication "Rights." Overlooking even one can lead to an incorrect or unsafe choice.</w:t>
      </w:r>
    </w:p>
    <w:p>
      <w:pPr>
        <w:pStyle w:val="ListParagraph"/>
        <w:numPr>
          <w:ilvl w:val="0"/>
          <w:numId w:val="1"/>
        </w:numPr>
        <w:spacing w:after="60"/>
      </w:pPr>
      <w:r>
        <w:rPr>
          <w:b/>
          <w:bCs/>
        </w:rPr>
        <w:t xml:space="preserve">Overstepping Scope of Practice:</w:t>
      </w:r>
      <w:r>
        <w:t xml:space="preserve"> Always remember your role as an unlicensed aide. Your duties involve assisting with self-administration; you do not administer medications. Choose answers that reflect your legal and professional boundaries.</w:t>
      </w:r>
    </w:p>
    <w:p>
      <w:pPr>
        <w:pStyle w:val="ListParagraph"/>
        <w:numPr>
          <w:ilvl w:val="0"/>
          <w:numId w:val="1"/>
        </w:numPr>
        <w:spacing w:after="60"/>
      </w:pPr>
      <w:r>
        <w:rPr>
          <w:b/>
          <w:bCs/>
        </w:rPr>
        <w:t xml:space="preserve">Not Recognizing Red Flags:</w:t>
      </w:r>
      <w:r>
        <w:t xml:space="preserve"> Some questions will present situations requiring immediate escalation to a nurse or pharmacist. Do not delay or attempt to manage issues that are beyond your training and scope.</w:t>
      </w:r>
    </w:p>
    <w:p>
      <w:pPr>
        <w:pStyle w:val="ListParagraph"/>
        <w:numPr>
          <w:ilvl w:val="0"/>
          <w:numId w:val="1"/>
        </w:numPr>
        <w:spacing w:after="60"/>
      </w:pPr>
      <w:r>
        <w:rPr>
          <w:b/>
          <w:bCs/>
        </w:rPr>
        <w:t xml:space="preserve">Confusing Terms:</w:t>
      </w:r>
      <w:r>
        <w:t xml:space="preserve"> Be clear on the difference between similar terms, such as "side effect" versus "adverse reaction," or "assisting" versus "administering."</w:t>
      </w:r>
    </w:p>
    <w:p>
      <w:pPr>
        <w:pStyle w:val="Heading4"/>
        <w:spacing w:after="80" w:before="200"/>
      </w:pPr>
      <w:r>
        <w:t xml:space="preserve">Interpreting Your Results</w:t>
      </w:r>
    </w:p>
    <w:p>
      <w:pPr>
        <w:spacing w:after="140"/>
      </w:pPr>
      <w:r>
        <w:t xml:space="preserve">After completing the quiz, review your performance thoroughly. This review process is essential for effective learning:</w:t>
      </w:r>
    </w:p>
    <w:p>
      <w:pPr>
        <w:pStyle w:val="ListParagraph"/>
        <w:numPr>
          <w:ilvl w:val="0"/>
          <w:numId w:val="1"/>
        </w:numPr>
        <w:spacing w:after="60"/>
      </w:pPr>
      <w:r>
        <w:rPr>
          <w:b/>
          <w:bCs/>
        </w:rPr>
        <w:t xml:space="preserve">Identify Strengths:</w:t>
      </w:r>
      <w:r>
        <w:t xml:space="preserve"> Note the topics where you answered correctly. This confirms your understanding in those specific areas.</w:t>
      </w:r>
    </w:p>
    <w:p>
      <w:pPr>
        <w:pStyle w:val="ListParagraph"/>
        <w:numPr>
          <w:ilvl w:val="0"/>
          <w:numId w:val="1"/>
        </w:numPr>
        <w:spacing w:after="60"/>
      </w:pPr>
      <w:r>
        <w:rPr>
          <w:b/>
          <w:bCs/>
        </w:rPr>
        <w:t xml:space="preserve">Pinpoint Areas for Review:</w:t>
      </w:r>
      <w:r>
        <w:t xml:space="preserve"> For every question you answered incorrectly, identify the specific concept, principle, or lesson it covered. This clearly shows you where you need to focus your study efforts.</w:t>
      </w:r>
    </w:p>
    <w:p>
      <w:pPr>
        <w:pStyle w:val="ListParagraph"/>
        <w:numPr>
          <w:ilvl w:val="0"/>
          <w:numId w:val="1"/>
        </w:numPr>
        <w:spacing w:after="60"/>
      </w:pPr>
      <w:r>
        <w:rPr>
          <w:b/>
          <w:bCs/>
        </w:rPr>
        <w:t xml:space="preserve">Understand </w:t>
      </w:r>
      <w:r>
        <w:rPr>
          <w:b/>
          <w:bCs/>
          <w:i/>
          <w:iCs/>
        </w:rPr>
        <w:t xml:space="preserve">Why</w:t>
      </w:r>
      <w:r>
        <w:rPr>
          <w:b/>
          <w:bCs/>
        </w:rPr>
        <w:t xml:space="preserve">:</w:t>
      </w:r>
      <w:r>
        <w:t xml:space="preserve"> Do not just note a wrong answer. Go back to the course material and understand </w:t>
      </w:r>
      <w:r>
        <w:rPr>
          <w:i/>
          <w:iCs/>
        </w:rPr>
        <w:t xml:space="preserve">why</w:t>
      </w:r>
      <w:r>
        <w:t xml:space="preserve"> the correct answer is correct and why your chosen answer was incorrect. This critical step leads to true learning.</w:t>
      </w:r>
    </w:p>
    <w:p>
      <w:pPr>
        <w:pStyle w:val="ListParagraph"/>
        <w:numPr>
          <w:ilvl w:val="0"/>
          <w:numId w:val="1"/>
        </w:numPr>
        <w:spacing w:after="60"/>
      </w:pPr>
      <w:r>
        <w:rPr>
          <w:b/>
          <w:bCs/>
        </w:rPr>
        <w:t xml:space="preserve">Revisit Lessons:</w:t>
      </w:r>
      <w:r>
        <w:t xml:space="preserve"> If you struggled with a particular topic, go back and re-watch the relevant video lessons or re-read the corresponding sections in this study guide.</w:t>
      </w:r>
    </w:p>
    <w:p>
      <w:pPr>
        <w:pStyle w:val="ListParagraph"/>
        <w:numPr>
          <w:ilvl w:val="0"/>
          <w:numId w:val="1"/>
        </w:numPr>
        <w:spacing w:after="60"/>
      </w:pPr>
      <w:r>
        <w:rPr>
          <w:b/>
          <w:bCs/>
        </w:rPr>
        <w:t xml:space="preserve">Practice Again:</w:t>
      </w:r>
      <w:r>
        <w:t xml:space="preserve"> If available, consider retaking the quiz after you have reviewed the material. Repetition helps reinforce learning and build confidence.</w:t>
      </w:r>
    </w:p>
    <w:p>
      <w:pPr>
        <w:pStyle w:val="Heading3"/>
      </w:pPr>
      <w:r>
        <w:t xml:space="preserve">Key Takeaways</w:t>
      </w:r>
    </w:p>
    <w:p>
      <w:pPr>
        <w:pStyle w:val="ListParagraph"/>
        <w:numPr>
          <w:ilvl w:val="0"/>
          <w:numId w:val="1"/>
        </w:numPr>
        <w:spacing w:after="60"/>
      </w:pPr>
      <w:r>
        <w:t xml:space="preserve">The final assessment evaluates your understanding of all course material on medication basics.</w:t>
      </w:r>
    </w:p>
    <w:p>
      <w:pPr>
        <w:pStyle w:val="ListParagraph"/>
        <w:numPr>
          <w:ilvl w:val="0"/>
          <w:numId w:val="1"/>
        </w:numPr>
        <w:spacing w:after="60"/>
      </w:pPr>
      <w:r>
        <w:t xml:space="preserve">Mastering the "Rights" of medication safety is essential for safe and effective medication assistance.</w:t>
      </w:r>
    </w:p>
    <w:p>
      <w:pPr>
        <w:pStyle w:val="ListParagraph"/>
        <w:numPr>
          <w:ilvl w:val="0"/>
          <w:numId w:val="1"/>
        </w:numPr>
        <w:spacing w:after="60"/>
      </w:pPr>
      <w:r>
        <w:t xml:space="preserve">Always read quiz questions carefully and consider all answer options before making a choice.</w:t>
      </w:r>
    </w:p>
    <w:p>
      <w:pPr>
        <w:pStyle w:val="ListParagraph"/>
        <w:numPr>
          <w:ilvl w:val="0"/>
          <w:numId w:val="1"/>
        </w:numPr>
        <w:spacing w:after="60"/>
      </w:pPr>
      <w:r>
        <w:t xml:space="preserve">Avoid common errors like misinterpreting scenarios or overstepping your legal scope of practice.</w:t>
      </w:r>
    </w:p>
    <w:p>
      <w:pPr>
        <w:pStyle w:val="ListParagraph"/>
        <w:numPr>
          <w:ilvl w:val="0"/>
          <w:numId w:val="1"/>
        </w:numPr>
        <w:spacing w:after="60"/>
      </w:pPr>
      <w:r>
        <w:t xml:space="preserve">Use quiz results to identify your strengths and pinpoint specific areas that require further review.</w:t>
      </w:r>
    </w:p>
    <w:p>
      <w:pPr>
        <w:pStyle w:val="ListParagraph"/>
        <w:numPr>
          <w:ilvl w:val="0"/>
          <w:numId w:val="1"/>
        </w:numPr>
        <w:spacing w:after="60"/>
      </w:pPr>
      <w:r>
        <w:t xml:space="preserve">Understanding </w:t>
      </w:r>
      <w:r>
        <w:rPr>
          <w:i/>
          <w:iCs/>
        </w:rPr>
        <w:t xml:space="preserve">why</w:t>
      </w:r>
      <w:r>
        <w:t xml:space="preserve"> an answer is correct or incorrect is vital for comprehensive learning and improvement.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"Rights" of medication safety?</w:t>
      </w:r>
    </w:p>
    <w:p>
      <w:pPr>
        <w:spacing w:after="60"/>
      </w:pPr>
      <w:r>
        <w:t xml:space="preserve">2. </w:t>
      </w:r>
      <w:r>
        <w:t xml:space="preserve">As an unlicensed aide, what is your legal scope of practice regarding medication assistance?</w:t>
      </w:r>
    </w:p>
    <w:p>
      <w:pPr>
        <w:spacing w:after="60"/>
      </w:pPr>
      <w:r>
        <w:t xml:space="preserve">3. </w:t>
      </w:r>
      <w:r>
        <w:t xml:space="preserve">What should you do if you notice an unusual side effect after an individual takes a new medication?</w:t>
      </w:r>
    </w:p>
    <w:p>
      <w:pPr>
        <w:spacing w:after="60"/>
      </w:pPr>
      <w:r>
        <w:t xml:space="preserve">4. </w:t>
      </w:r>
      <w:r>
        <w:t xml:space="preserve">Why is it important to review incorrect answers on a quiz, rather than just noting your score?</w:t>
      </w:r>
    </w:p>
    <w:p>
      <w:pPr>
        <w:spacing w:after="60"/>
      </w:pPr>
      <w:r>
        <w:t xml:space="preserve">5. </w:t>
      </w:r>
      <w:r>
        <w:t xml:space="preserve">Name three common medication routes and give an example of a medication form for each.</w:t>
      </w:r>
    </w:p>
    <w:p>
      <w:pPr>
        <w:pStyle w:val="Heading1"/>
        <w:pageBreakBefore/>
      </w:pPr>
      <w:r>
        <w:t xml:space="preserve">Glossary</w:t>
      </w:r>
    </w:p>
    <w:p>
      <w:pPr>
        <w:spacing w:after="20"/>
      </w:pPr>
      <w:r>
        <w:rPr>
          <w:rFonts w:ascii="Arial" w:cs="Arial" w:eastAsia="Arial" w:hAnsi="Arial"/>
          <w:b/>
          <w:bCs/>
          <w:sz w:val="19"/>
          <w:szCs w:val="19"/>
        </w:rPr>
        <w:t xml:space="preserve">Abbreviations</w:t>
      </w:r>
    </w:p>
    <w:p>
      <w:pPr>
        <w:spacing w:after="140"/>
      </w:pPr>
      <w:r>
        <w:t xml:space="preserve">Shortened forms of words or phrases used in medication orders (e.g., BID for twice a day, PRN for as needed, PO for by mouth).</w:t>
      </w:r>
    </w:p>
    <w:p>
      <w:pPr>
        <w:spacing w:after="20"/>
      </w:pPr>
      <w:r>
        <w:rPr>
          <w:rFonts w:ascii="Arial" w:cs="Arial" w:eastAsia="Arial" w:hAnsi="Arial"/>
          <w:b/>
          <w:bCs/>
          <w:sz w:val="19"/>
          <w:szCs w:val="19"/>
        </w:rPr>
        <w:t xml:space="preserve">Administering medication</w:t>
      </w:r>
    </w:p>
    <w:p>
      <w:pPr>
        <w:spacing w:after="140"/>
      </w:pPr>
      <w:r>
        <w:t xml:space="preserve">Actions generally reserved for licensed staff, such as selecting a dose, placing it in the mouth, or injecting medication.</w:t>
      </w:r>
    </w:p>
    <w:p>
      <w:pPr>
        <w:spacing w:after="20"/>
      </w:pPr>
      <w:r>
        <w:rPr>
          <w:rFonts w:ascii="Arial" w:cs="Arial" w:eastAsia="Arial" w:hAnsi="Arial"/>
          <w:b/>
          <w:bCs/>
          <w:sz w:val="19"/>
          <w:szCs w:val="19"/>
        </w:rPr>
        <w:t xml:space="preserve">Adverse reaction</w:t>
      </w:r>
    </w:p>
    <w:p>
      <w:pPr>
        <w:spacing w:after="140"/>
      </w:pPr>
      <w:r>
        <w:t xml:space="preserve">An unintended, undesirable, and potentially harmful response to a drug, which may require medical intervention.</w:t>
      </w:r>
    </w:p>
    <w:p>
      <w:pPr>
        <w:spacing w:after="20"/>
      </w:pPr>
      <w:r>
        <w:rPr>
          <w:rFonts w:ascii="Arial" w:cs="Arial" w:eastAsia="Arial" w:hAnsi="Arial"/>
          <w:b/>
          <w:bCs/>
          <w:sz w:val="19"/>
          <w:szCs w:val="19"/>
        </w:rPr>
        <w:t xml:space="preserve">Ampule</w:t>
      </w:r>
    </w:p>
    <w:p>
      <w:pPr>
        <w:spacing w:after="140"/>
      </w:pPr>
      <w:r>
        <w:t xml:space="preserve">A small, sealed glass capsule containing a single dose of a liquid medication, which must be broken open to access the drug.</w:t>
      </w:r>
    </w:p>
    <w:p>
      <w:pPr>
        <w:spacing w:after="20"/>
      </w:pPr>
      <w:r>
        <w:rPr>
          <w:rFonts w:ascii="Arial" w:cs="Arial" w:eastAsia="Arial" w:hAnsi="Arial"/>
          <w:b/>
          <w:bCs/>
          <w:sz w:val="19"/>
          <w:szCs w:val="19"/>
        </w:rPr>
        <w:t xml:space="preserve">Anaphylaxis</w:t>
      </w:r>
    </w:p>
    <w:p>
      <w:pPr>
        <w:spacing w:after="140"/>
      </w:pPr>
      <w:r>
        <w:t xml:space="preserve">A severe, potentially life-threatening allergic reaction that can cause hives, swelling, and difficulty breathing.</w:t>
      </w:r>
    </w:p>
    <w:p>
      <w:pPr>
        <w:spacing w:after="20"/>
      </w:pPr>
      <w:r>
        <w:rPr>
          <w:rFonts w:ascii="Arial" w:cs="Arial" w:eastAsia="Arial" w:hAnsi="Arial"/>
          <w:b/>
          <w:bCs/>
          <w:sz w:val="19"/>
          <w:szCs w:val="19"/>
        </w:rPr>
        <w:t xml:space="preserve">Anticholinergics</w:t>
      </w:r>
    </w:p>
    <w:p>
      <w:pPr>
        <w:spacing w:after="140"/>
      </w:pPr>
      <w:r>
        <w:t xml:space="preserve">A class of medications that block the action of acetylcholine, often found in cold remedies and sleep aids, which can cause confusion or drowsiness, especially in older adults.</w:t>
      </w:r>
    </w:p>
    <w:p>
      <w:pPr>
        <w:spacing w:after="20"/>
      </w:pPr>
      <w:r>
        <w:rPr>
          <w:rFonts w:ascii="Arial" w:cs="Arial" w:eastAsia="Arial" w:hAnsi="Arial"/>
          <w:b/>
          <w:bCs/>
          <w:sz w:val="19"/>
          <w:szCs w:val="19"/>
        </w:rPr>
        <w:t xml:space="preserve">Anticoagulant</w:t>
      </w:r>
    </w:p>
    <w:p>
      <w:pPr>
        <w:spacing w:after="140"/>
      </w:pPr>
      <w:r>
        <w:t xml:space="preserve">A medication that prevents or slows the formation of blood clots, often referred to as a 'blood thinner'.</w:t>
      </w:r>
    </w:p>
    <w:p>
      <w:pPr>
        <w:spacing w:after="20"/>
      </w:pPr>
      <w:r>
        <w:rPr>
          <w:rFonts w:ascii="Arial" w:cs="Arial" w:eastAsia="Arial" w:hAnsi="Arial"/>
          <w:b/>
          <w:bCs/>
          <w:sz w:val="19"/>
          <w:szCs w:val="19"/>
        </w:rPr>
        <w:t xml:space="preserve">Aptt (activated partial thromboplastin time)</w:t>
      </w:r>
    </w:p>
    <w:p>
      <w:pPr>
        <w:spacing w:after="140"/>
      </w:pPr>
      <w:r>
        <w:t xml:space="preserve">A blood test used to monitor the effectiveness of heparin therapy.</w:t>
      </w:r>
    </w:p>
    <w:p>
      <w:pPr>
        <w:spacing w:after="20"/>
      </w:pPr>
      <w:r>
        <w:rPr>
          <w:rFonts w:ascii="Arial" w:cs="Arial" w:eastAsia="Arial" w:hAnsi="Arial"/>
          <w:b/>
          <w:bCs/>
          <w:sz w:val="19"/>
          <w:szCs w:val="19"/>
        </w:rPr>
        <w:t xml:space="preserve">Assisting with medication</w:t>
      </w:r>
    </w:p>
    <w:p>
      <w:pPr>
        <w:spacing w:after="140"/>
      </w:pPr>
      <w:r>
        <w:t xml:space="preserve">Actions generally permitted for unlicensed caregivers, such as reminding, opening containers, or handing over a pre-poured dose for self-administration.</w:t>
      </w:r>
    </w:p>
    <w:p>
      <w:pPr>
        <w:spacing w:after="20"/>
      </w:pPr>
      <w:r>
        <w:rPr>
          <w:rFonts w:ascii="Arial" w:cs="Arial" w:eastAsia="Arial" w:hAnsi="Arial"/>
          <w:b/>
          <w:bCs/>
          <w:sz w:val="19"/>
          <w:szCs w:val="19"/>
        </w:rPr>
        <w:t xml:space="preserve">Barbiturates</w:t>
      </w:r>
    </w:p>
    <w:p>
      <w:pPr>
        <w:spacing w:after="140"/>
      </w:pPr>
      <w:r>
        <w:t xml:space="preserve">A class of central nervous system depressant drugs used for sedation, anxiety, and seizures, known for their narrow therapeutic index and high risk of respiratory depression.</w:t>
      </w:r>
    </w:p>
    <w:p>
      <w:pPr>
        <w:spacing w:after="20"/>
      </w:pPr>
      <w:r>
        <w:rPr>
          <w:rFonts w:ascii="Arial" w:cs="Arial" w:eastAsia="Arial" w:hAnsi="Arial"/>
          <w:b/>
          <w:bCs/>
          <w:sz w:val="19"/>
          <w:szCs w:val="19"/>
        </w:rPr>
        <w:t xml:space="preserve">Brown-bag review</w:t>
      </w:r>
    </w:p>
    <w:p>
      <w:pPr>
        <w:spacing w:after="140"/>
      </w:pPr>
      <w:r>
        <w:t xml:space="preserve">An annual practice where a person gathers all their medications, supplements, and over-the-counter products for a pharmacist or prescriber to review for safety and appropriateness.</w:t>
      </w:r>
    </w:p>
    <w:p>
      <w:pPr>
        <w:spacing w:after="20"/>
      </w:pPr>
      <w:r>
        <w:rPr>
          <w:rFonts w:ascii="Arial" w:cs="Arial" w:eastAsia="Arial" w:hAnsi="Arial"/>
          <w:b/>
          <w:bCs/>
          <w:sz w:val="19"/>
          <w:szCs w:val="19"/>
        </w:rPr>
        <w:t xml:space="preserve">Buccal</w:t>
      </w:r>
    </w:p>
    <w:p>
      <w:pPr>
        <w:spacing w:after="140"/>
      </w:pPr>
      <w:r>
        <w:t xml:space="preserve">A medication administration route where the medication is placed between the cheek and gum to dissolve and absorb.</w:t>
      </w:r>
    </w:p>
    <w:p>
      <w:pPr>
        <w:spacing w:after="20"/>
      </w:pPr>
      <w:r>
        <w:rPr>
          <w:rFonts w:ascii="Arial" w:cs="Arial" w:eastAsia="Arial" w:hAnsi="Arial"/>
          <w:b/>
          <w:bCs/>
          <w:sz w:val="19"/>
          <w:szCs w:val="19"/>
        </w:rPr>
        <w:t xml:space="preserve">Calcium channel blocker (ccb)</w:t>
      </w:r>
    </w:p>
    <w:p>
      <w:pPr>
        <w:spacing w:after="140"/>
      </w:pPr>
      <w:r>
        <w:t xml:space="preserve">A class of medications that relax blood vessels and can slow heart rate by blocking calcium entry into cells.</w:t>
      </w:r>
    </w:p>
    <w:p>
      <w:pPr>
        <w:spacing w:after="20"/>
      </w:pPr>
      <w:r>
        <w:rPr>
          <w:rFonts w:ascii="Arial" w:cs="Arial" w:eastAsia="Arial" w:hAnsi="Arial"/>
          <w:b/>
          <w:bCs/>
          <w:sz w:val="19"/>
          <w:szCs w:val="19"/>
        </w:rPr>
        <w:t xml:space="preserve">Coring</w:t>
      </w:r>
    </w:p>
    <w:p>
      <w:pPr>
        <w:spacing w:after="140"/>
      </w:pPr>
      <w:r>
        <w:t xml:space="preserve">The process where a small piece of the rubber stopper from a vial is dislodged by a needle and enters the medication, causing contamination.</w:t>
      </w:r>
    </w:p>
    <w:p>
      <w:pPr>
        <w:spacing w:after="20"/>
      </w:pPr>
      <w:r>
        <w:rPr>
          <w:rFonts w:ascii="Arial" w:cs="Arial" w:eastAsia="Arial" w:hAnsi="Arial"/>
          <w:b/>
          <w:bCs/>
          <w:sz w:val="19"/>
          <w:szCs w:val="19"/>
        </w:rPr>
        <w:t xml:space="preserve">Desired over have method</w:t>
      </w:r>
    </w:p>
    <w:p>
      <w:pPr>
        <w:spacing w:after="140"/>
      </w:pPr>
      <w:r>
        <w:t xml:space="preserve">A common formula used for dosage calculations: (Desired Dose / Available Dose) x Quantity = Amount to Administer.</w:t>
      </w:r>
    </w:p>
    <w:p>
      <w:pPr>
        <w:spacing w:after="20"/>
      </w:pPr>
      <w:r>
        <w:rPr>
          <w:rFonts w:ascii="Arial" w:cs="Arial" w:eastAsia="Arial" w:hAnsi="Arial"/>
          <w:b/>
          <w:bCs/>
          <w:sz w:val="19"/>
          <w:szCs w:val="19"/>
        </w:rPr>
        <w:t xml:space="preserve">Digoxin</w:t>
      </w:r>
    </w:p>
    <w:p>
      <w:pPr>
        <w:spacing w:after="140"/>
      </w:pPr>
      <w:r>
        <w:t xml:space="preserve">A cardiac glycoside medication that increases the heart's pumping strength and slows the heart rate.</w:t>
      </w:r>
    </w:p>
    <w:p>
      <w:pPr>
        <w:spacing w:after="20"/>
      </w:pPr>
      <w:r>
        <w:rPr>
          <w:rFonts w:ascii="Arial" w:cs="Arial" w:eastAsia="Arial" w:hAnsi="Arial"/>
          <w:b/>
          <w:bCs/>
          <w:sz w:val="19"/>
          <w:szCs w:val="19"/>
        </w:rPr>
        <w:t xml:space="preserve">Dosage</w:t>
      </w:r>
    </w:p>
    <w:p>
      <w:pPr>
        <w:spacing w:after="140"/>
      </w:pPr>
      <w:r>
        <w:t xml:space="preserve">The specific amount of a medication to be administered at one time or over a period.</w:t>
      </w:r>
    </w:p>
    <w:p>
      <w:pPr>
        <w:spacing w:after="20"/>
      </w:pPr>
      <w:r>
        <w:rPr>
          <w:rFonts w:ascii="Arial" w:cs="Arial" w:eastAsia="Arial" w:hAnsi="Arial"/>
          <w:b/>
          <w:bCs/>
          <w:sz w:val="19"/>
          <w:szCs w:val="19"/>
        </w:rPr>
        <w:t xml:space="preserve">Dressing</w:t>
      </w:r>
    </w:p>
    <w:p>
      <w:pPr>
        <w:spacing w:after="140"/>
      </w:pPr>
      <w:r>
        <w:t xml:space="preserve">A sterile covering applied to an IV insertion site to protect it from contamination and help secure the catheter.</w:t>
      </w:r>
    </w:p>
    <w:p>
      <w:pPr>
        <w:spacing w:after="20"/>
      </w:pPr>
      <w:r>
        <w:rPr>
          <w:rFonts w:ascii="Arial" w:cs="Arial" w:eastAsia="Arial" w:hAnsi="Arial"/>
          <w:b/>
          <w:bCs/>
          <w:sz w:val="19"/>
          <w:szCs w:val="19"/>
        </w:rPr>
        <w:t xml:space="preserve">Drug interaction</w:t>
      </w:r>
    </w:p>
    <w:p>
      <w:pPr>
        <w:spacing w:after="140"/>
      </w:pPr>
      <w:r>
        <w:t xml:space="preserve">When one medication affects how another medication works, or how a medication interacts with food or a medical condition.</w:t>
      </w:r>
    </w:p>
    <w:p>
      <w:pPr>
        <w:spacing w:after="20"/>
      </w:pPr>
      <w:r>
        <w:rPr>
          <w:rFonts w:ascii="Arial" w:cs="Arial" w:eastAsia="Arial" w:hAnsi="Arial"/>
          <w:b/>
          <w:bCs/>
          <w:sz w:val="19"/>
          <w:szCs w:val="19"/>
        </w:rPr>
        <w:t xml:space="preserve">Infiltration</w:t>
      </w:r>
    </w:p>
    <w:p>
      <w:pPr>
        <w:spacing w:after="140"/>
      </w:pPr>
      <w:r>
        <w:t xml:space="preserve">A complication where IV fluid leaks from the vein into the surrounding tissue, causing swelling and discomfort.</w:t>
      </w:r>
    </w:p>
    <w:p>
      <w:pPr>
        <w:spacing w:after="20"/>
      </w:pPr>
      <w:r>
        <w:rPr>
          <w:rFonts w:ascii="Arial" w:cs="Arial" w:eastAsia="Arial" w:hAnsi="Arial"/>
          <w:b/>
          <w:bCs/>
          <w:sz w:val="19"/>
          <w:szCs w:val="19"/>
        </w:rPr>
        <w:t xml:space="preserve">Intravenous (iv)</w:t>
      </w:r>
    </w:p>
    <w:p>
      <w:pPr>
        <w:spacing w:after="140"/>
      </w:pPr>
      <w:r>
        <w:t xml:space="preserve">Pertaining to or introduced into a vein, often used to deliver fluids or medications directly into the bloodstream.</w:t>
      </w:r>
    </w:p>
    <w:p>
      <w:pPr>
        <w:spacing w:after="20"/>
      </w:pPr>
      <w:r>
        <w:rPr>
          <w:rFonts w:ascii="Arial" w:cs="Arial" w:eastAsia="Arial" w:hAnsi="Arial"/>
          <w:b/>
          <w:bCs/>
          <w:sz w:val="19"/>
          <w:szCs w:val="19"/>
        </w:rPr>
        <w:t xml:space="preserve">Iv catheter</w:t>
      </w:r>
    </w:p>
    <w:p>
      <w:pPr>
        <w:spacing w:after="140"/>
      </w:pPr>
      <w:r>
        <w:t xml:space="preserve">A small, flexible tube inserted into a vein to provide intravenous access for fluids or medications.</w:t>
      </w:r>
    </w:p>
    <w:p>
      <w:pPr>
        <w:spacing w:after="20"/>
      </w:pPr>
      <w:r>
        <w:rPr>
          <w:rFonts w:ascii="Arial" w:cs="Arial" w:eastAsia="Arial" w:hAnsi="Arial"/>
          <w:b/>
          <w:bCs/>
          <w:sz w:val="19"/>
          <w:szCs w:val="19"/>
        </w:rPr>
        <w:t xml:space="preserve">Medication adherence</w:t>
      </w:r>
    </w:p>
    <w:p>
      <w:pPr>
        <w:spacing w:after="140"/>
      </w:pPr>
      <w:r>
        <w:t xml:space="preserve">Consistently taking medications as prescribed by a healthcare provider, including correct dose, timing, and route.</w:t>
      </w:r>
    </w:p>
    <w:p>
      <w:pPr>
        <w:spacing w:after="20"/>
      </w:pPr>
      <w:r>
        <w:rPr>
          <w:rFonts w:ascii="Arial" w:cs="Arial" w:eastAsia="Arial" w:hAnsi="Arial"/>
          <w:b/>
          <w:bCs/>
          <w:sz w:val="19"/>
          <w:szCs w:val="19"/>
        </w:rPr>
        <w:t xml:space="preserve">Medication form</w:t>
      </w:r>
    </w:p>
    <w:p>
      <w:pPr>
        <w:spacing w:after="140"/>
      </w:pPr>
      <w:r>
        <w:t xml:space="preserve">The physical state or preparation of a drug (e.g., tablet, liquid, cream, patch, drops).</w:t>
      </w:r>
    </w:p>
    <w:p>
      <w:pPr>
        <w:spacing w:after="20"/>
      </w:pPr>
      <w:r>
        <w:rPr>
          <w:rFonts w:ascii="Arial" w:cs="Arial" w:eastAsia="Arial" w:hAnsi="Arial"/>
          <w:b/>
          <w:bCs/>
          <w:sz w:val="19"/>
          <w:szCs w:val="19"/>
        </w:rPr>
        <w:t xml:space="preserve">Medication label</w:t>
      </w:r>
    </w:p>
    <w:p>
      <w:pPr>
        <w:spacing w:after="140"/>
      </w:pPr>
      <w:r>
        <w:t xml:space="preserve">The information printed on a medication container, detailing its contents, dosage, instructions for use, and warnings.</w:t>
      </w:r>
    </w:p>
    <w:p>
      <w:pPr>
        <w:spacing w:after="20"/>
      </w:pPr>
      <w:r>
        <w:rPr>
          <w:rFonts w:ascii="Arial" w:cs="Arial" w:eastAsia="Arial" w:hAnsi="Arial"/>
          <w:b/>
          <w:bCs/>
          <w:sz w:val="19"/>
          <w:szCs w:val="19"/>
        </w:rPr>
        <w:t xml:space="preserve">Medication rights</w:t>
      </w:r>
    </w:p>
    <w:p>
      <w:pPr>
        <w:spacing w:after="140"/>
      </w:pPr>
      <w:r>
        <w:t xml:space="preserve">A set of principles (e.g., Right Patient, Right Drug, Right Dose) used as a checklist to ensure safe medication administration and prevent errors.</w:t>
      </w:r>
    </w:p>
    <w:p>
      <w:pPr>
        <w:spacing w:after="20"/>
      </w:pPr>
      <w:r>
        <w:rPr>
          <w:rFonts w:ascii="Arial" w:cs="Arial" w:eastAsia="Arial" w:hAnsi="Arial"/>
          <w:b/>
          <w:bCs/>
          <w:sz w:val="19"/>
          <w:szCs w:val="19"/>
        </w:rPr>
        <w:t xml:space="preserve">Medication route</w:t>
      </w:r>
    </w:p>
    <w:p>
      <w:pPr>
        <w:spacing w:after="140"/>
      </w:pPr>
      <w:r>
        <w:t xml:space="preserve">The specific path by which a drug is introduced into or applied to the body (e.g., oral, topical, inhaled).</w:t>
      </w:r>
    </w:p>
    <w:p>
      <w:pPr>
        <w:spacing w:after="20"/>
      </w:pPr>
      <w:r>
        <w:rPr>
          <w:rFonts w:ascii="Arial" w:cs="Arial" w:eastAsia="Arial" w:hAnsi="Arial"/>
          <w:b/>
          <w:bCs/>
          <w:sz w:val="19"/>
          <w:szCs w:val="19"/>
        </w:rPr>
        <w:t xml:space="preserve">Meniscus</w:t>
      </w:r>
    </w:p>
    <w:p>
      <w:pPr>
        <w:spacing w:after="140"/>
      </w:pPr>
      <w:r>
        <w:t xml:space="preserve">The curved surface of a liquid in a container, used as the point of measurement for liquid medications.</w:t>
      </w:r>
    </w:p>
    <w:p>
      <w:pPr>
        <w:spacing w:after="20"/>
      </w:pPr>
      <w:r>
        <w:rPr>
          <w:rFonts w:ascii="Arial" w:cs="Arial" w:eastAsia="Arial" w:hAnsi="Arial"/>
          <w:b/>
          <w:bCs/>
          <w:sz w:val="19"/>
          <w:szCs w:val="19"/>
        </w:rPr>
        <w:t xml:space="preserve">Narrow therapeutic window</w:t>
      </w:r>
    </w:p>
    <w:p>
      <w:pPr>
        <w:spacing w:after="140"/>
      </w:pPr>
      <w:r>
        <w:t xml:space="preserve">A characteristic of a drug where the effective dose is very close to the toxic dose, requiring careful monitoring.</w:t>
      </w:r>
    </w:p>
    <w:p>
      <w:pPr>
        <w:spacing w:after="20"/>
      </w:pPr>
      <w:r>
        <w:rPr>
          <w:rFonts w:ascii="Arial" w:cs="Arial" w:eastAsia="Arial" w:hAnsi="Arial"/>
          <w:b/>
          <w:bCs/>
          <w:sz w:val="19"/>
          <w:szCs w:val="19"/>
        </w:rPr>
        <w:t xml:space="preserve">Nsaids</w:t>
      </w:r>
    </w:p>
    <w:p>
      <w:pPr>
        <w:spacing w:after="140"/>
      </w:pPr>
      <w:r>
        <w:t xml:space="preserve">Nonsteroidal anti-inflammatory drugs (e.g., ibuprofen, naproxen) used for pain and inflammation, which can interact with other medications or conditions.</w:t>
      </w:r>
    </w:p>
    <w:p>
      <w:pPr>
        <w:spacing w:after="20"/>
      </w:pPr>
      <w:r>
        <w:rPr>
          <w:rFonts w:ascii="Arial" w:cs="Arial" w:eastAsia="Arial" w:hAnsi="Arial"/>
          <w:b/>
          <w:bCs/>
          <w:sz w:val="19"/>
          <w:szCs w:val="19"/>
        </w:rPr>
        <w:t xml:space="preserve">One-hand scoop technique</w:t>
      </w:r>
    </w:p>
    <w:p>
      <w:pPr>
        <w:spacing w:after="140"/>
      </w:pPr>
      <w:r>
        <w:t xml:space="preserve">A method for safely recapping a needle using only one hand, primarily used when immediate sharps disposal is not available, to minimize the risk of needle stick injury.</w:t>
      </w:r>
    </w:p>
    <w:p>
      <w:pPr>
        <w:spacing w:after="20"/>
      </w:pPr>
      <w:r>
        <w:rPr>
          <w:rFonts w:ascii="Arial" w:cs="Arial" w:eastAsia="Arial" w:hAnsi="Arial"/>
          <w:b/>
          <w:bCs/>
          <w:sz w:val="19"/>
          <w:szCs w:val="19"/>
        </w:rPr>
        <w:t xml:space="preserve">Oral (po)</w:t>
      </w:r>
    </w:p>
    <w:p>
      <w:pPr>
        <w:spacing w:after="140"/>
      </w:pPr>
      <w:r>
        <w:t xml:space="preserve">A medication administration route where the medication is taken by mouth and swallowed.</w:t>
      </w:r>
    </w:p>
    <w:p>
      <w:pPr>
        <w:spacing w:after="20"/>
      </w:pPr>
      <w:r>
        <w:rPr>
          <w:rFonts w:ascii="Arial" w:cs="Arial" w:eastAsia="Arial" w:hAnsi="Arial"/>
          <w:b/>
          <w:bCs/>
          <w:sz w:val="19"/>
          <w:szCs w:val="19"/>
        </w:rPr>
        <w:t xml:space="preserve">Over-the-counter (otc) medication</w:t>
      </w:r>
    </w:p>
    <w:p>
      <w:pPr>
        <w:spacing w:after="140"/>
      </w:pPr>
      <w:r>
        <w:t xml:space="preserve">Medicines available for purchase without a prescription from a doctor or other healthcare provider.</w:t>
      </w:r>
    </w:p>
    <w:p>
      <w:pPr>
        <w:spacing w:after="20"/>
      </w:pPr>
      <w:r>
        <w:rPr>
          <w:rFonts w:ascii="Arial" w:cs="Arial" w:eastAsia="Arial" w:hAnsi="Arial"/>
          <w:b/>
          <w:bCs/>
          <w:sz w:val="19"/>
          <w:szCs w:val="19"/>
        </w:rPr>
        <w:t xml:space="preserve">Parenteral</w:t>
      </w:r>
    </w:p>
    <w:p>
      <w:pPr>
        <w:spacing w:after="140"/>
      </w:pPr>
      <w:r>
        <w:t xml:space="preserve">A medication administration route that involves injection, bypassing the digestive system (e.g., intravenous, intramuscular, subcutaneous).</w:t>
      </w:r>
    </w:p>
    <w:p>
      <w:pPr>
        <w:spacing w:after="20"/>
      </w:pPr>
      <w:r>
        <w:rPr>
          <w:rFonts w:ascii="Arial" w:cs="Arial" w:eastAsia="Arial" w:hAnsi="Arial"/>
          <w:b/>
          <w:bCs/>
          <w:sz w:val="19"/>
          <w:szCs w:val="19"/>
        </w:rPr>
        <w:t xml:space="preserve">Polypharmacy</w:t>
      </w:r>
    </w:p>
    <w:p>
      <w:pPr>
        <w:spacing w:after="140"/>
      </w:pPr>
      <w:r>
        <w:t xml:space="preserve">The use of multiple medications, often five or more, by a patient, which increases the risk of side effects and interactions.</w:t>
      </w:r>
    </w:p>
    <w:p>
      <w:pPr>
        <w:spacing w:after="20"/>
      </w:pPr>
      <w:r>
        <w:rPr>
          <w:rFonts w:ascii="Arial" w:cs="Arial" w:eastAsia="Arial" w:hAnsi="Arial"/>
          <w:b/>
          <w:bCs/>
          <w:sz w:val="19"/>
          <w:szCs w:val="19"/>
        </w:rPr>
        <w:t xml:space="preserve">Pt/inr (prothrombin time/international normalized ratio)</w:t>
      </w:r>
    </w:p>
    <w:p>
      <w:pPr>
        <w:spacing w:after="140"/>
      </w:pPr>
      <w:r>
        <w:t xml:space="preserve">Blood tests used to monitor the effectiveness of warfarin therapy and assess clotting ability.</w:t>
      </w:r>
    </w:p>
    <w:p>
      <w:pPr>
        <w:spacing w:after="20"/>
      </w:pPr>
      <w:r>
        <w:rPr>
          <w:rFonts w:ascii="Arial" w:cs="Arial" w:eastAsia="Arial" w:hAnsi="Arial"/>
          <w:b/>
          <w:bCs/>
          <w:sz w:val="19"/>
          <w:szCs w:val="19"/>
        </w:rPr>
        <w:t xml:space="preserve">Red flag</w:t>
      </w:r>
    </w:p>
    <w:p>
      <w:pPr>
        <w:spacing w:after="140"/>
      </w:pPr>
      <w:r>
        <w:t xml:space="preserve">A warning sign or symptom indicating a potentially serious problem that requires immediate attention from a nurse or pharmacist.</w:t>
      </w:r>
    </w:p>
    <w:p>
      <w:pPr>
        <w:spacing w:after="20"/>
      </w:pPr>
      <w:r>
        <w:rPr>
          <w:rFonts w:ascii="Arial" w:cs="Arial" w:eastAsia="Arial" w:hAnsi="Arial"/>
          <w:b/>
          <w:bCs/>
          <w:sz w:val="19"/>
          <w:szCs w:val="19"/>
        </w:rPr>
        <w:t xml:space="preserve">Respiratory depression</w:t>
      </w:r>
    </w:p>
    <w:p>
      <w:pPr>
        <w:spacing w:after="140"/>
      </w:pPr>
      <w:r>
        <w:t xml:space="preserve">A dangerous side effect where breathing becomes unusually slow and shallow, potentially leading to insufficient oxygen and carbon dioxide buildup.</w:t>
      </w:r>
    </w:p>
    <w:p>
      <w:pPr>
        <w:spacing w:after="20"/>
      </w:pPr>
      <w:r>
        <w:rPr>
          <w:rFonts w:ascii="Arial" w:cs="Arial" w:eastAsia="Arial" w:hAnsi="Arial"/>
          <w:b/>
          <w:bCs/>
          <w:sz w:val="19"/>
          <w:szCs w:val="19"/>
        </w:rPr>
        <w:t xml:space="preserve">Rights of medication safety</w:t>
      </w:r>
    </w:p>
    <w:p>
      <w:pPr>
        <w:spacing w:after="140"/>
      </w:pPr>
      <w:r>
        <w:t xml:space="preserve">A checklist of seven principles (right person, medication, dose, route, time, documentation, refusal) designed to prevent medication errors.</w:t>
      </w:r>
    </w:p>
    <w:p>
      <w:pPr>
        <w:spacing w:after="20"/>
      </w:pPr>
      <w:r>
        <w:rPr>
          <w:rFonts w:ascii="Arial" w:cs="Arial" w:eastAsia="Arial" w:hAnsi="Arial"/>
          <w:b/>
          <w:bCs/>
          <w:sz w:val="19"/>
          <w:szCs w:val="19"/>
        </w:rPr>
        <w:t xml:space="preserve">Route of administration</w:t>
      </w:r>
    </w:p>
    <w:p>
      <w:pPr>
        <w:spacing w:after="140"/>
      </w:pPr>
      <w:r>
        <w:t xml:space="preserve">The path by which a medication is taken into the body, such as oral, topical, or intravenous.</w:t>
      </w:r>
    </w:p>
    <w:p>
      <w:pPr>
        <w:spacing w:after="20"/>
      </w:pPr>
      <w:r>
        <w:rPr>
          <w:rFonts w:ascii="Arial" w:cs="Arial" w:eastAsia="Arial" w:hAnsi="Arial"/>
          <w:b/>
          <w:bCs/>
          <w:sz w:val="19"/>
          <w:szCs w:val="19"/>
        </w:rPr>
        <w:t xml:space="preserve">Routes of administration</w:t>
      </w:r>
    </w:p>
    <w:p>
      <w:pPr>
        <w:spacing w:after="140"/>
      </w:pPr>
      <w:r>
        <w:t xml:space="preserve">The path by which a drug is taken into the body (e.g., oral, topical, sublingual, intramuscular, intravenous).</w:t>
      </w:r>
    </w:p>
    <w:p>
      <w:pPr>
        <w:spacing w:after="20"/>
      </w:pPr>
      <w:r>
        <w:rPr>
          <w:rFonts w:ascii="Arial" w:cs="Arial" w:eastAsia="Arial" w:hAnsi="Arial"/>
          <w:b/>
          <w:bCs/>
          <w:sz w:val="19"/>
          <w:szCs w:val="19"/>
        </w:rPr>
        <w:t xml:space="preserve">Saline lock</w:t>
      </w:r>
    </w:p>
    <w:p>
      <w:pPr>
        <w:spacing w:after="140"/>
      </w:pPr>
      <w:r>
        <w:t xml:space="preserve">An intravenous catheter that is capped off and flushed with saline to keep it patent (open and clear) when not in continuous use.</w:t>
      </w:r>
    </w:p>
    <w:p>
      <w:pPr>
        <w:spacing w:after="20"/>
      </w:pPr>
      <w:r>
        <w:rPr>
          <w:rFonts w:ascii="Arial" w:cs="Arial" w:eastAsia="Arial" w:hAnsi="Arial"/>
          <w:b/>
          <w:bCs/>
          <w:sz w:val="19"/>
          <w:szCs w:val="19"/>
        </w:rPr>
        <w:t xml:space="preserve">Scope of practice</w:t>
      </w:r>
    </w:p>
    <w:p>
      <w:pPr>
        <w:spacing w:after="140"/>
      </w:pPr>
      <w:r>
        <w:t xml:space="preserve">The legal boundaries and professional limitations defining what a healthcare professional or aide is authorized to do.</w:t>
      </w:r>
    </w:p>
    <w:p>
      <w:pPr>
        <w:spacing w:after="20"/>
      </w:pPr>
      <w:r>
        <w:rPr>
          <w:rFonts w:ascii="Arial" w:cs="Arial" w:eastAsia="Arial" w:hAnsi="Arial"/>
          <w:b/>
          <w:bCs/>
          <w:sz w:val="19"/>
          <w:szCs w:val="19"/>
        </w:rPr>
        <w:t xml:space="preserve">Side effect</w:t>
      </w:r>
    </w:p>
    <w:p>
      <w:pPr>
        <w:spacing w:after="140"/>
      </w:pPr>
      <w:r>
        <w:t xml:space="preserve">An unwanted or unexpected effect of a medication that occurs in addition to its intended therapeutic effect.</w:t>
      </w:r>
    </w:p>
    <w:p>
      <w:pPr>
        <w:spacing w:after="20"/>
      </w:pPr>
      <w:r>
        <w:rPr>
          <w:rFonts w:ascii="Arial" w:cs="Arial" w:eastAsia="Arial" w:hAnsi="Arial"/>
          <w:b/>
          <w:bCs/>
          <w:sz w:val="19"/>
          <w:szCs w:val="19"/>
        </w:rPr>
        <w:t xml:space="preserve">Vial</w:t>
      </w:r>
    </w:p>
    <w:p>
      <w:pPr>
        <w:spacing w:after="140"/>
      </w:pPr>
      <w:r>
        <w:t xml:space="preserve">A small glass or plastic bottle containing liquid medication, often designed for multiple doses, with a rubber stopper for needle access.</w:t>
      </w:r>
    </w:p>
    <w:p>
      <w:pPr>
        <w:pStyle w:val="Heading1"/>
        <w:pageBreakBefore/>
      </w:pPr>
      <w:r>
        <w:t xml:space="preserve">Answer Key</w:t>
      </w:r>
    </w:p>
    <w:p>
      <w:pPr>
        <w:pStyle w:val="Heading3"/>
      </w:pPr>
      <w:r>
        <w:t xml:space="preserve">Chapter 1: Medication Routes, Forms, and Basic Calculations</w:t>
      </w:r>
    </w:p>
    <w:p>
      <w:pPr>
        <w:spacing w:after="20"/>
      </w:pPr>
      <w:r>
        <w:rPr>
          <w:b/>
          <w:bCs/>
        </w:rPr>
        <w:t xml:space="preserve">1. </w:t>
      </w:r>
      <w:r>
        <w:rPr>
          <w:b/>
          <w:bCs/>
        </w:rPr>
        <w:t xml:space="preserve">Describe the correct technique for measuring a liquid oral medication.</w:t>
      </w:r>
    </w:p>
    <w:p>
      <w:pPr>
        <w:spacing w:after="140"/>
      </w:pPr>
      <w:r>
        <w:t xml:space="preserve">When measuring liquid oral medication, place the measuring cup on a flat, level surface. Bend down to eye level to read the measurement. Pour the medication slowly until the bottom of the meniscus (the curved surface of the liquid) aligns with the prescribed dosage mark.</w:t>
      </w:r>
    </w:p>
    <w:p>
      <w:pPr>
        <w:spacing w:after="20"/>
      </w:pPr>
      <w:r>
        <w:rPr>
          <w:b/>
          <w:bCs/>
        </w:rPr>
        <w:t xml:space="preserve">2. </w:t>
      </w:r>
      <w:r>
        <w:rPr>
          <w:b/>
          <w:bCs/>
        </w:rPr>
        <w:t xml:space="preserve">What is the purpose of injecting air into a medication vial before withdrawing the liquid?</w:t>
      </w:r>
    </w:p>
    <w:p>
      <w:pPr>
        <w:spacing w:after="140"/>
      </w:pPr>
      <w:r>
        <w:t xml:space="preserve">Injecting an amount of air equal to the desired medication dose into a vial helps to equalize the pressure inside. This prevents a vacuum from forming, making it significantly easier to withdraw the liquid medication accurately and smoothly into the syringe.</w:t>
      </w:r>
    </w:p>
    <w:p>
      <w:pPr>
        <w:spacing w:after="20"/>
      </w:pPr>
      <w:r>
        <w:rPr>
          <w:b/>
          <w:bCs/>
        </w:rPr>
        <w:t xml:space="preserve">3. </w:t>
      </w:r>
      <w:r>
        <w:rPr>
          <w:b/>
          <w:bCs/>
        </w:rPr>
        <w:t xml:space="preserve">An order specifies medication A 250 mg. The available tablets are 125 mg each. How many tablets should be administered?</w:t>
      </w:r>
    </w:p>
    <w:p>
      <w:pPr>
        <w:spacing w:after="140"/>
      </w:pPr>
      <w:r>
        <w:t xml:space="preserve">Using the 'Desired Over Have' method, divide the desired dose (250 mg) by the available dose (125 mg) and multiply by the quantity (1 tablet). This calculation is (250 mg / 125 mg) x 1 tablet = 2 tablets. Therefore, 2 tablets should be administered.</w:t>
      </w:r>
    </w:p>
    <w:p>
      <w:pPr>
        <w:spacing w:after="20"/>
      </w:pPr>
      <w:r>
        <w:rPr>
          <w:b/>
          <w:bCs/>
        </w:rPr>
        <w:t xml:space="preserve">4. </w:t>
      </w:r>
      <w:r>
        <w:rPr>
          <w:b/>
          <w:bCs/>
        </w:rPr>
        <w:t xml:space="preserve">List three signs of a potential complication at an IV site that an aide or caregiver should report to a nurse.</w:t>
      </w:r>
    </w:p>
    <w:p>
      <w:pPr>
        <w:spacing w:after="140"/>
      </w:pPr>
      <w:r>
        <w:t xml:space="preserve">Three signs of a potential IV site complication include redness or swelling around the insertion area, the individual reporting pain or tenderness at the site, and any visible leakage of fluid from the site. These observations require immediate reporting to a licensed nurse.</w:t>
      </w:r>
    </w:p>
    <w:p>
      <w:pPr>
        <w:spacing w:after="20"/>
      </w:pPr>
      <w:r>
        <w:rPr>
          <w:b/>
          <w:bCs/>
        </w:rPr>
        <w:t xml:space="preserve">5. </w:t>
      </w:r>
      <w:r>
        <w:rPr>
          <w:b/>
          <w:bCs/>
        </w:rPr>
        <w:t xml:space="preserve">Explain why it is generally unsafe to crush or split extended-release or enteric-coated medications.</w:t>
      </w:r>
    </w:p>
    <w:p>
      <w:pPr>
        <w:spacing w:after="140"/>
      </w:pPr>
      <w:r>
        <w:t xml:space="preserve">Crushing or splitting extended-release or enteric-coated medications can destroy their special coatings or matrices. This action can lead to the medication being absorbed too quickly, resulting in an overdose, or being destroyed by stomach acid, making it ineffective. Always consult a pharmacist or nurse before altering such medications.</w:t>
      </w:r>
    </w:p>
    <w:p>
      <w:pPr>
        <w:pStyle w:val="Heading3"/>
      </w:pPr>
      <w:r>
        <w:t xml:space="preserve">Chapter 2: Intravenous Basics and Medication Label Comprehension</w:t>
      </w:r>
    </w:p>
    <w:p>
      <w:pPr>
        <w:spacing w:after="20"/>
      </w:pPr>
      <w:r>
        <w:rPr>
          <w:b/>
          <w:bCs/>
        </w:rPr>
        <w:t xml:space="preserve">1. </w:t>
      </w:r>
      <w:r>
        <w:rPr>
          <w:b/>
          <w:bCs/>
        </w:rPr>
        <w:t xml:space="preserve">What is the primary purpose of an intravenous (IV) line?</w:t>
      </w:r>
    </w:p>
    <w:p>
      <w:pPr>
        <w:spacing w:after="140"/>
      </w:pPr>
      <w:r>
        <w:t xml:space="preserve">The primary purpose of an IV line is to provide direct access to a patient's bloodstream. This allows for the rapid and efficient delivery of fluids, medications, or nutrients that cannot be taken orally or need to act quickly.</w:t>
      </w:r>
    </w:p>
    <w:p>
      <w:pPr>
        <w:spacing w:after="20"/>
      </w:pPr>
      <w:r>
        <w:rPr>
          <w:b/>
          <w:bCs/>
        </w:rPr>
        <w:t xml:space="preserve">2. </w:t>
      </w:r>
      <w:r>
        <w:rPr>
          <w:b/>
          <w:bCs/>
        </w:rPr>
        <w:t xml:space="preserve">As an aide, what are three signs you should watch for at a patient's IV site?</w:t>
      </w:r>
    </w:p>
    <w:p>
      <w:pPr>
        <w:spacing w:after="140"/>
      </w:pPr>
      <w:r>
        <w:t xml:space="preserve">As an aide, you should watch for signs such as swelling around the IV site, redness or warmth of the skin, and patient complaints of new pain or tenderness. Any of these could indicate complications like infiltration or infection and should be reported to a nurse immediately.</w:t>
      </w:r>
    </w:p>
    <w:p>
      <w:pPr>
        <w:spacing w:after="20"/>
      </w:pPr>
      <w:r>
        <w:rPr>
          <w:b/>
          <w:bCs/>
        </w:rPr>
        <w:t xml:space="preserve">3. </w:t>
      </w:r>
      <w:r>
        <w:rPr>
          <w:b/>
          <w:bCs/>
        </w:rPr>
        <w:t xml:space="preserve">Why is it important for an IV line to be properly secured with a dressing?</w:t>
      </w:r>
    </w:p>
    <w:p>
      <w:pPr>
        <w:spacing w:after="140"/>
      </w:pPr>
      <w:r>
        <w:t xml:space="preserve">Properly securing an IV line with a sterile dressing is crucial to prevent the catheter from dislodging from the vein. It also protects the insertion site from contamination, reducing the risk of infection. A secure dressing helps ensure the IV remains functional and safe.</w:t>
      </w:r>
    </w:p>
    <w:p>
      <w:pPr>
        <w:spacing w:after="20"/>
      </w:pPr>
      <w:r>
        <w:rPr>
          <w:b/>
          <w:bCs/>
        </w:rPr>
        <w:t xml:space="preserve">4. </w:t>
      </w:r>
      <w:r>
        <w:rPr>
          <w:b/>
          <w:bCs/>
        </w:rPr>
        <w:t xml:space="preserve">What is an IV flush, and why is it performed?</w:t>
      </w:r>
    </w:p>
    <w:p>
      <w:pPr>
        <w:spacing w:after="140"/>
      </w:pPr>
      <w:r>
        <w:t xml:space="preserve">An IV flush involves injecting a small amount of sterile saline solution into an IV catheter. It is performed to keep the line clear and prevent blood clots from forming inside, ensuring the catheter remains patent and ready for future medication or fluid administration.</w:t>
      </w:r>
    </w:p>
    <w:p>
      <w:pPr>
        <w:spacing w:after="20"/>
      </w:pPr>
      <w:r>
        <w:rPr>
          <w:b/>
          <w:bCs/>
        </w:rPr>
        <w:t xml:space="preserve">5. </w:t>
      </w:r>
      <w:r>
        <w:rPr>
          <w:b/>
          <w:bCs/>
        </w:rPr>
        <w:t xml:space="preserve">List three critical pieces of information you should always verify on a medication label.</w:t>
      </w:r>
    </w:p>
    <w:p>
      <w:pPr>
        <w:spacing w:after="140"/>
      </w:pPr>
      <w:r>
        <w:t xml:space="preserve">Three critical pieces of information to verify on a medication label are the patient's name, the medication name (brand and generic), and the dosage. Also vital are the route of administration, frequency, and expiration date.</w:t>
      </w:r>
    </w:p>
    <w:p>
      <w:pPr>
        <w:spacing w:after="20"/>
      </w:pPr>
      <w:r>
        <w:rPr>
          <w:b/>
          <w:bCs/>
        </w:rPr>
        <w:t xml:space="preserve">6. </w:t>
      </w:r>
      <w:r>
        <w:rPr>
          <w:b/>
          <w:bCs/>
        </w:rPr>
        <w:t xml:space="preserve">Why is understanding medication labels important for an aide's role in supporting medication adherence?</w:t>
      </w:r>
    </w:p>
    <w:p>
      <w:pPr>
        <w:spacing w:after="140"/>
      </w:pPr>
      <w:r>
        <w:t xml:space="preserve">Understanding medication labels is important because it allows aides to verify that the correct medication is being prepared for the right patient, at the correct dose and time. This knowledge helps identify potential discrepancies and supports the patient in consistently following their prescribed regimen, contributing significantly to medication safety and adherence.</w:t>
      </w:r>
    </w:p>
    <w:p>
      <w:pPr>
        <w:pStyle w:val="Heading3"/>
      </w:pPr>
      <w:r>
        <w:t xml:space="preserve">Chapter 3: Medication Administration: Rights, Routes, and Preparation</w:t>
      </w:r>
    </w:p>
    <w:p>
      <w:pPr>
        <w:spacing w:after="20"/>
      </w:pPr>
      <w:r>
        <w:rPr>
          <w:b/>
          <w:bCs/>
        </w:rPr>
        <w:t xml:space="preserve">1. </w:t>
      </w:r>
      <w:r>
        <w:rPr>
          <w:b/>
          <w:bCs/>
        </w:rPr>
        <w:t xml:space="preserve">List and explain at least five of the 'Rights of Medication Administration' and why each is important.</w:t>
      </w:r>
    </w:p>
    <w:p>
      <w:pPr>
        <w:spacing w:after="140"/>
      </w:pPr>
      <w:r>
        <w:t xml:space="preserve">Five core rights include Right Patient (to ensure the correct person receives the medication), Right Drug (to prevent administering the wrong medication), Right Dose (to ensure the correct amount is given), Right Route (to ensure the medication is given via the intended path), and Right Time (to maintain therapeutic levels and prevent adverse effects). Each right serves as a critical checkpoint to prevent medication errors and ensure patient safety.</w:t>
      </w:r>
    </w:p>
    <w:p>
      <w:pPr>
        <w:spacing w:after="20"/>
      </w:pPr>
      <w:r>
        <w:rPr>
          <w:b/>
          <w:bCs/>
        </w:rPr>
        <w:t xml:space="preserve">2. </w:t>
      </w:r>
      <w:r>
        <w:rPr>
          <w:b/>
          <w:bCs/>
        </w:rPr>
        <w:t xml:space="preserve">What do the abbreviations 'BID,' 'PRN,' and 'PO' mean, and why is it important to know them?</w:t>
      </w:r>
    </w:p>
    <w:p>
      <w:pPr>
        <w:spacing w:after="140"/>
      </w:pPr>
      <w:r>
        <w:t xml:space="preserve">BID means 'twice a day,' PRN means 'as needed,' and PO means 'by mouth' or 'orally.' It is important to know these abbreviations because they are commonly used in medication orders and instructions. Misunderstanding them can lead to incorrect dosing, timing, or route of administration, which can harm the patient.</w:t>
      </w:r>
    </w:p>
    <w:p>
      <w:pPr>
        <w:spacing w:after="20"/>
      </w:pPr>
      <w:r>
        <w:rPr>
          <w:b/>
          <w:bCs/>
        </w:rPr>
        <w:t xml:space="preserve">3. </w:t>
      </w:r>
      <w:r>
        <w:rPr>
          <w:b/>
          <w:bCs/>
        </w:rPr>
        <w:t xml:space="preserve">Describe the key steps for safely withdrawing medication from a vial.</w:t>
      </w:r>
    </w:p>
    <w:p>
      <w:pPr>
        <w:spacing w:after="140"/>
      </w:pPr>
      <w:r>
        <w:t xml:space="preserve">Key steps include cleaning the vial stopper, drawing air into the syringe equal to the medication dose, injecting the air into the inverted vial, withdrawing the medication while keeping the needle tip below the fluid level, removing air bubbles, and then withdrawing the needle. Proper technique also involves preventing coring by inserting the needle at an angle then straightening it.</w:t>
      </w:r>
    </w:p>
    <w:p>
      <w:pPr>
        <w:spacing w:after="20"/>
      </w:pPr>
      <w:r>
        <w:rPr>
          <w:b/>
          <w:bCs/>
        </w:rPr>
        <w:t xml:space="preserve">4. </w:t>
      </w:r>
      <w:r>
        <w:rPr>
          <w:b/>
          <w:bCs/>
        </w:rPr>
        <w:t xml:space="preserve">Why is the 'one-hand scoop technique' important for needle safety, and when should it be used?</w:t>
      </w:r>
    </w:p>
    <w:p>
      <w:pPr>
        <w:spacing w:after="140"/>
      </w:pPr>
      <w:r>
        <w:t xml:space="preserve">The one-hand scoop technique is important for needle safety because it minimizes the risk of an accidental needle stick injury when recapping. It should be used only when recapping is absolutely necessary, such as for safe transport of a used needle to a sharps container that is not immediately at hand. The safest practice is to avoid recapping altogether and dispose of needles immediately.</w:t>
      </w:r>
    </w:p>
    <w:p>
      <w:pPr>
        <w:spacing w:after="20"/>
      </w:pPr>
      <w:r>
        <w:rPr>
          <w:b/>
          <w:bCs/>
        </w:rPr>
        <w:t xml:space="preserve">5. </w:t>
      </w:r>
      <w:r>
        <w:rPr>
          <w:b/>
          <w:bCs/>
        </w:rPr>
        <w:t xml:space="preserve">What are barbiturates, and what are two critical 'red flags' an aide should watch for in someone taking them?</w:t>
      </w:r>
    </w:p>
    <w:p>
      <w:pPr>
        <w:spacing w:after="140"/>
      </w:pPr>
      <w:r>
        <w:t xml:space="preserve">Barbiturates are a class of central nervous system depressant medications used for sedation, anxiety, and seizures. Two critical 'red flags' an aide should watch for are excessive drowsiness or lethargy (difficulty waking the patient) and slow, shallow breathing (respiratory depression). These signs indicate potential overdose or severe adverse reaction and require immediate reporting to a nurse or pharmacist.</w:t>
      </w:r>
    </w:p>
    <w:p>
      <w:pPr>
        <w:pStyle w:val="Heading3"/>
      </w:pPr>
      <w:r>
        <w:t xml:space="preserve">Chapter 4: Specialized Medication Administration and Key Cardiac Drugs</w:t>
      </w:r>
    </w:p>
    <w:p>
      <w:pPr>
        <w:spacing w:after="20"/>
      </w:pPr>
      <w:r>
        <w:rPr>
          <w:b/>
          <w:bCs/>
        </w:rPr>
        <w:t xml:space="preserve">1. </w:t>
      </w:r>
      <w:r>
        <w:rPr>
          <w:b/>
          <w:bCs/>
        </w:rPr>
        <w:t xml:space="preserve">Why is a filter needle used when drawing medication from an ampule?</w:t>
      </w:r>
    </w:p>
    <w:p>
      <w:pPr>
        <w:spacing w:after="140"/>
      </w:pPr>
      <w:r>
        <w:t xml:space="preserve">A filter needle is used to prevent any microscopic glass particles, which may result from breaking the ampule, from being drawn into the syringe. This ensures the medication remains free of contaminants and is safe for administration.</w:t>
      </w:r>
    </w:p>
    <w:p>
      <w:pPr>
        <w:spacing w:after="20"/>
      </w:pPr>
      <w:r>
        <w:rPr>
          <w:b/>
          <w:bCs/>
        </w:rPr>
        <w:t xml:space="preserve">2. </w:t>
      </w:r>
      <w:r>
        <w:rPr>
          <w:b/>
          <w:bCs/>
        </w:rPr>
        <w:t xml:space="preserve">Compare the onset of action and monitoring tests for Heparin and Warfarin.</w:t>
      </w:r>
    </w:p>
    <w:p>
      <w:pPr>
        <w:spacing w:after="140"/>
      </w:pPr>
      <w:r>
        <w:t xml:space="preserve">Heparin has a rapid onset of action and its effects are monitored using the activated partial thromboplastin time (aPTT) blood test. Warfarin has a slower onset of action, often taking several days, and its effects are monitored using the prothrombin time (PT) and International Normalized Ratio (INR) blood tests.</w:t>
      </w:r>
    </w:p>
    <w:p>
      <w:pPr>
        <w:spacing w:after="20"/>
      </w:pPr>
      <w:r>
        <w:rPr>
          <w:b/>
          <w:bCs/>
        </w:rPr>
        <w:t xml:space="preserve">3. </w:t>
      </w:r>
      <w:r>
        <w:rPr>
          <w:b/>
          <w:bCs/>
        </w:rPr>
        <w:t xml:space="preserve">What are two common uses for Calcium Channel Blockers?</w:t>
      </w:r>
    </w:p>
    <w:p>
      <w:pPr>
        <w:spacing w:after="140"/>
      </w:pPr>
      <w:r>
        <w:t xml:space="preserve">Calcium Channel Blockers are commonly used to treat high blood pressure (hypertension) and chest pain (angina). They can also be used for certain irregular heart rhythms.</w:t>
      </w:r>
    </w:p>
    <w:p>
      <w:pPr>
        <w:spacing w:after="20"/>
      </w:pPr>
      <w:r>
        <w:rPr>
          <w:b/>
          <w:bCs/>
        </w:rPr>
        <w:t xml:space="preserve">4. </w:t>
      </w:r>
      <w:r>
        <w:rPr>
          <w:b/>
          <w:bCs/>
        </w:rPr>
        <w:t xml:space="preserve">What critical observation should be made before administering Digoxin, and why?</w:t>
      </w:r>
    </w:p>
    <w:p>
      <w:pPr>
        <w:spacing w:after="140"/>
      </w:pPr>
      <w:r>
        <w:t xml:space="preserve">Before administering Digoxin, a licensed professional should check the patient's apical pulse for a full minute. Digoxin slows the heart rate, so if the pulse is too low (e.g., below 60 beats per minute), administering the medication could dangerously slow the heart further.</w:t>
      </w:r>
    </w:p>
    <w:p>
      <w:pPr>
        <w:spacing w:after="20"/>
      </w:pPr>
      <w:r>
        <w:rPr>
          <w:b/>
          <w:bCs/>
        </w:rPr>
        <w:t xml:space="preserve">5. </w:t>
      </w:r>
      <w:r>
        <w:rPr>
          <w:b/>
          <w:bCs/>
        </w:rPr>
        <w:t xml:space="preserve">List three signs of potential bleeding that an aide or caregiver should report for a patient on anticoagulants.</w:t>
      </w:r>
    </w:p>
    <w:p>
      <w:pPr>
        <w:spacing w:after="140"/>
      </w:pPr>
      <w:r>
        <w:t xml:space="preserve">An aide or caregiver should report unusual bruising, nosebleeds that are difficult to stop, and blood in urine or stool for a patient on anticoagulants. These can indicate an excessive anticoagulant effect and a risk of hemorrhage.</w:t>
      </w:r>
    </w:p>
    <w:p>
      <w:pPr>
        <w:spacing w:after="20"/>
      </w:pPr>
      <w:r>
        <w:rPr>
          <w:b/>
          <w:bCs/>
        </w:rPr>
        <w:t xml:space="preserve">6. </w:t>
      </w:r>
      <w:r>
        <w:rPr>
          <w:b/>
          <w:bCs/>
        </w:rPr>
        <w:t xml:space="preserve">What are some signs of Digoxin toxicity that a caregiver should be aware of?</w:t>
      </w:r>
    </w:p>
    <w:p>
      <w:pPr>
        <w:spacing w:after="140"/>
      </w:pPr>
      <w:r>
        <w:t xml:space="preserve">Signs of Digoxin toxicity include nausea, vomiting, loss of appetite, fatigue, and visual disturbances like seeing yellow-green halos around lights. A very slow or irregular heart rate is also a critical sign.</w:t>
      </w:r>
    </w:p>
    <w:p>
      <w:pPr>
        <w:pStyle w:val="Heading3"/>
      </w:pPr>
      <w:r>
        <w:t xml:space="preserve">Chapter 5: Safe Medication Support</w:t>
      </w:r>
    </w:p>
    <w:p>
      <w:pPr>
        <w:spacing w:after="20"/>
      </w:pPr>
      <w:r>
        <w:rPr>
          <w:b/>
          <w:bCs/>
        </w:rPr>
        <w:t xml:space="preserve">1. </w:t>
      </w:r>
      <w:r>
        <w:rPr>
          <w:b/>
          <w:bCs/>
        </w:rPr>
        <w:t xml:space="preserve">A person you assist is prescribed a new medication. What three times should you read the label to ensure it is the right medication?</w:t>
      </w:r>
    </w:p>
    <w:p>
      <w:pPr>
        <w:spacing w:after="140"/>
      </w:pPr>
      <w:r>
        <w:t xml:space="preserve">You should read the medication label when you first pick up the container, immediately before preparing the dose, and again when returning the container to storage. This triple check helps prevent medication errors, especially with similar-sounding drug names.</w:t>
      </w:r>
    </w:p>
    <w:p>
      <w:pPr>
        <w:spacing w:after="20"/>
      </w:pPr>
      <w:r>
        <w:rPr>
          <w:b/>
          <w:bCs/>
        </w:rPr>
        <w:t xml:space="preserve">2. </w:t>
      </w:r>
      <w:r>
        <w:rPr>
          <w:b/>
          <w:bCs/>
        </w:rPr>
        <w:t xml:space="preserve">The person you care for refuses to take their evening blood pressure medication. What is your appropriate action?</w:t>
      </w:r>
    </w:p>
    <w:p>
      <w:pPr>
        <w:spacing w:after="140"/>
      </w:pPr>
      <w:r>
        <w:t xml:space="preserve">Adults have the right to refuse medication. Do not hide the medication or force it. Your appropriate action is to report the refusal to the nurse or prescriber as soon as possible, documenting the event according to your employer's policy.</w:t>
      </w:r>
    </w:p>
    <w:p>
      <w:pPr>
        <w:spacing w:after="20"/>
      </w:pPr>
      <w:r>
        <w:rPr>
          <w:b/>
          <w:bCs/>
        </w:rPr>
        <w:t xml:space="preserve">3. </w:t>
      </w:r>
      <w:r>
        <w:rPr>
          <w:b/>
          <w:bCs/>
        </w:rPr>
        <w:t xml:space="preserve">You notice the person you assist has developed new confusion and increased drowsiness after starting a new sleep aid. What should you do?</w:t>
      </w:r>
    </w:p>
    <w:p>
      <w:pPr>
        <w:spacing w:after="140"/>
      </w:pPr>
      <w:r>
        <w:t xml:space="preserve">New confusion or increased drowsiness, especially after a medication change, is a red flag. You should contact the nurse or prescriber today to report these symptoms. This could indicate a medication side effect or an interaction that needs evaluation.</w:t>
      </w:r>
    </w:p>
    <w:p>
      <w:pPr>
        <w:spacing w:after="20"/>
      </w:pPr>
      <w:r>
        <w:rPr>
          <w:b/>
          <w:bCs/>
        </w:rPr>
        <w:t xml:space="preserve">4. </w:t>
      </w:r>
      <w:r>
        <w:rPr>
          <w:b/>
          <w:bCs/>
        </w:rPr>
        <w:t xml:space="preserve">The person you assist is on a blood thinner and experiences a fall, hitting their head. They seem fine, but what action is necessary?</w:t>
      </w:r>
    </w:p>
    <w:p>
      <w:pPr>
        <w:spacing w:after="140"/>
      </w:pPr>
      <w:r>
        <w:t xml:space="preserve">Even if the person appears fine, a head impact while on a blood thinner requires immediate medical evaluation. You should call the nurse or prescriber today to report the fall and head strike, as there is an increased risk of internal bleeding.</w:t>
      </w:r>
    </w:p>
    <w:p>
      <w:pPr>
        <w:spacing w:after="20"/>
      </w:pPr>
      <w:r>
        <w:rPr>
          <w:b/>
          <w:bCs/>
        </w:rPr>
        <w:t xml:space="preserve">5. </w:t>
      </w:r>
      <w:r>
        <w:rPr>
          <w:b/>
          <w:bCs/>
        </w:rPr>
        <w:t xml:space="preserve">What is the purpose of a 'brown-bag review,' and who typically conducts it?</w:t>
      </w:r>
    </w:p>
    <w:p>
      <w:pPr>
        <w:spacing w:after="140"/>
      </w:pPr>
      <w:r>
        <w:t xml:space="preserve">A 'brown-bag review' involves gathering all medications, supplements, and over-the-counter products for a professional review. Its purpose is to identify duplicate medications, expired drugs, or potential interactions. A pharmacist or prescriber typically conducts this review.</w:t>
      </w:r>
    </w:p>
    <w:p>
      <w:pPr>
        <w:pStyle w:val="Heading3"/>
      </w:pPr>
      <w:r>
        <w:t xml:space="preserve">Chapter 6: Medication Safety Handout</w:t>
      </w:r>
    </w:p>
    <w:p>
      <w:pPr>
        <w:spacing w:after="20"/>
      </w:pPr>
      <w:r>
        <w:rPr>
          <w:b/>
          <w:bCs/>
        </w:rPr>
        <w:t xml:space="preserve">1. </w:t>
      </w:r>
      <w:r>
        <w:rPr>
          <w:b/>
          <w:bCs/>
        </w:rPr>
        <w:t xml:space="preserve">Why is a dedicated medication safety handout for older adults particularly useful for aides and caregivers?</w:t>
      </w:r>
    </w:p>
    <w:p>
      <w:pPr>
        <w:spacing w:after="140"/>
      </w:pPr>
      <w:r>
        <w:t xml:space="preserve">Older adults often manage multiple medications (polypharmacy) and may have age-related changes affecting how their bodies process drugs. They might also face cognitive challenges or have multiple prescribers. A dedicated handout helps caregivers address these specific complexities with targeted advice.</w:t>
      </w:r>
    </w:p>
    <w:p>
      <w:pPr>
        <w:spacing w:after="20"/>
      </w:pPr>
      <w:r>
        <w:rPr>
          <w:b/>
          <w:bCs/>
        </w:rPr>
        <w:t xml:space="preserve">2. </w:t>
      </w:r>
      <w:r>
        <w:rPr>
          <w:b/>
          <w:bCs/>
        </w:rPr>
        <w:t xml:space="preserve">What are two common challenges older adults might face with their medications that are addressed in the handout?</w:t>
      </w:r>
    </w:p>
    <w:p>
      <w:pPr>
        <w:spacing w:after="140"/>
      </w:pPr>
      <w:r>
        <w:t xml:space="preserve">Two common challenges are remembering to take multiple medications on time and understanding the purpose or side effects of each drug. The handout offers tips like keeping an updated medication list and using pill organizers to help manage these issues.</w:t>
      </w:r>
    </w:p>
    <w:p>
      <w:pPr>
        <w:spacing w:after="20"/>
      </w:pPr>
      <w:r>
        <w:rPr>
          <w:b/>
          <w:bCs/>
        </w:rPr>
        <w:t xml:space="preserve">3. </w:t>
      </w:r>
      <w:r>
        <w:rPr>
          <w:b/>
          <w:bCs/>
        </w:rPr>
        <w:t xml:space="preserve">How can a caregiver use this handout to improve medication adherence for a client?</w:t>
      </w:r>
    </w:p>
    <w:p>
      <w:pPr>
        <w:spacing w:after="140"/>
      </w:pPr>
      <w:r>
        <w:t xml:space="preserve">A caregiver can use the handout to review strategies like setting reminders, organizing medications, and ensuring the client understands their medication schedule. It can also prompt discussions with the client or supervising nurse about any barriers to adherence.</w:t>
      </w:r>
    </w:p>
    <w:p>
      <w:pPr>
        <w:spacing w:after="20"/>
      </w:pPr>
      <w:r>
        <w:rPr>
          <w:b/>
          <w:bCs/>
        </w:rPr>
        <w:t xml:space="preserve">4. </w:t>
      </w:r>
      <w:r>
        <w:rPr>
          <w:b/>
          <w:bCs/>
        </w:rPr>
        <w:t xml:space="preserve">When reviewing the handout, what should you do if a specific tip seems unclear or raises a question for you?</w:t>
      </w:r>
    </w:p>
    <w:p>
      <w:pPr>
        <w:spacing w:after="140"/>
      </w:pPr>
      <w:r>
        <w:t xml:space="preserve">If a tip is unclear, you should make a note of your question. Then, consult your supervising nurse or refer back to relevant sections of this study guide to seek clarification. Never guess or assume when it comes to medication safety.</w:t>
      </w:r>
    </w:p>
    <w:p>
      <w:pPr>
        <w:spacing w:after="20"/>
      </w:pPr>
      <w:r>
        <w:rPr>
          <w:b/>
          <w:bCs/>
        </w:rPr>
        <w:t xml:space="preserve">5. </w:t>
      </w:r>
      <w:r>
        <w:rPr>
          <w:b/>
          <w:bCs/>
        </w:rPr>
        <w:t xml:space="preserve">Name one 'right of medication safety' that is strongly supported by the advice in the handout, and explain how.</w:t>
      </w:r>
    </w:p>
    <w:p>
      <w:pPr>
        <w:spacing w:after="140"/>
      </w:pPr>
      <w:r>
        <w:t xml:space="preserve">The 'Right Medication' is strongly supported. The handout advises keeping an updated list of all medications, including OTCs and supplements, and sharing it with all healthcare providers. This practice helps ensure that the correct medication is always identified and administered, preventing errors.</w:t>
      </w:r>
    </w:p>
    <w:p>
      <w:pPr>
        <w:pStyle w:val="Heading3"/>
      </w:pPr>
      <w:r>
        <w:t xml:space="preserve">Chapter 7: Final Assessment: Medication Basics</w:t>
      </w:r>
    </w:p>
    <w:p>
      <w:pPr>
        <w:spacing w:after="20"/>
      </w:pPr>
      <w:r>
        <w:rPr>
          <w:b/>
          <w:bCs/>
        </w:rPr>
        <w:t xml:space="preserve">1. </w:t>
      </w:r>
      <w:r>
        <w:rPr>
          <w:b/>
          <w:bCs/>
        </w:rPr>
        <w:t xml:space="preserve">What is the primary purpose of the "Rights" of medication safety?</w:t>
      </w:r>
    </w:p>
    <w:p>
      <w:pPr>
        <w:spacing w:after="140"/>
      </w:pPr>
      <w:r>
        <w:t xml:space="preserve">The primary purpose of the "Rights" of medication safety is to prevent errors and ensure that individuals receive the correct medication safely and effectively. They serve as a systematic checklist for every medication interaction, minimizing risks and promoting patient well-being.</w:t>
      </w:r>
    </w:p>
    <w:p>
      <w:pPr>
        <w:spacing w:after="20"/>
      </w:pPr>
      <w:r>
        <w:rPr>
          <w:b/>
          <w:bCs/>
        </w:rPr>
        <w:t xml:space="preserve">2. </w:t>
      </w:r>
      <w:r>
        <w:rPr>
          <w:b/>
          <w:bCs/>
        </w:rPr>
        <w:t xml:space="preserve">As an unlicensed aide, what is your legal scope of practice regarding medication assistance?</w:t>
      </w:r>
    </w:p>
    <w:p>
      <w:pPr>
        <w:spacing w:after="140"/>
      </w:pPr>
      <w:r>
        <w:t xml:space="preserve">As an unlicensed aide, your legal scope of practice typically involves assisting with self-administration of medications. This means you can remind individuals, open containers, or provide water. You are generally not permitted to administer medications directly, such such as injecting, inserting, or applying medications without specific training and state allowances.</w:t>
      </w:r>
    </w:p>
    <w:p>
      <w:pPr>
        <w:spacing w:after="20"/>
      </w:pPr>
      <w:r>
        <w:rPr>
          <w:b/>
          <w:bCs/>
        </w:rPr>
        <w:t xml:space="preserve">3. </w:t>
      </w:r>
      <w:r>
        <w:rPr>
          <w:b/>
          <w:bCs/>
        </w:rPr>
        <w:t xml:space="preserve">What should you do if you notice an unusual side effect after an individual takes a new medication?</w:t>
      </w:r>
    </w:p>
    <w:p>
      <w:pPr>
        <w:spacing w:after="140"/>
      </w:pPr>
      <w:r>
        <w:t xml:space="preserve">If you notice an unusual side effect, you should immediately document your observation and report it to a nurse or pharmacist. Do not attempt to diagnose or treat the issue yourself. Escalating the concern promptly ensures the individual receives appropriate medical evaluation.</w:t>
      </w:r>
    </w:p>
    <w:p>
      <w:pPr>
        <w:spacing w:after="20"/>
      </w:pPr>
      <w:r>
        <w:rPr>
          <w:b/>
          <w:bCs/>
        </w:rPr>
        <w:t xml:space="preserve">4. </w:t>
      </w:r>
      <w:r>
        <w:rPr>
          <w:b/>
          <w:bCs/>
        </w:rPr>
        <w:t xml:space="preserve">Why is it important to review incorrect answers on a quiz, rather than just noting your score?</w:t>
      </w:r>
    </w:p>
    <w:p>
      <w:pPr>
        <w:spacing w:after="140"/>
      </w:pPr>
      <w:r>
        <w:t xml:space="preserve">Reviewing incorrect answers is crucial because it helps you understand </w:t>
      </w:r>
      <w:r>
        <w:rPr>
          <w:i/>
          <w:iCs/>
        </w:rPr>
        <w:t xml:space="preserve">why</w:t>
      </w:r>
      <w:r>
        <w:t xml:space="preserve"> you made a mistake and </w:t>
      </w:r>
      <w:r>
        <w:rPr>
          <w:i/>
          <w:iCs/>
        </w:rPr>
        <w:t xml:space="preserve">what</w:t>
      </w:r>
      <w:r>
        <w:t xml:space="preserve"> the correct information is. This process identifies specific knowledge gaps. Simply noting a score does not provide the necessary insight for true learning and improvement.</w:t>
      </w:r>
    </w:p>
    <w:p>
      <w:pPr>
        <w:spacing w:after="20"/>
      </w:pPr>
      <w:r>
        <w:rPr>
          <w:b/>
          <w:bCs/>
        </w:rPr>
        <w:t xml:space="preserve">5. </w:t>
      </w:r>
      <w:r>
        <w:rPr>
          <w:b/>
          <w:bCs/>
        </w:rPr>
        <w:t xml:space="preserve">Name three common medication routes and give an example of a medication form for each.</w:t>
      </w:r>
    </w:p>
    <w:p>
      <w:pPr>
        <w:spacing w:after="140"/>
      </w:pPr>
      <w:r>
        <w:t xml:space="preserve">Three common medication routes are oral (e.g., tablet, capsule), topical (e.g., cream, ointment), and inhaled (e.g., metered-dose inhaler). Other routes include transdermal (patch), ophthalmic (eye drops), and otic (ear drops).</w:t>
      </w:r>
    </w:p>
    <w:p>
      <w:pPr>
        <w:pStyle w:val="Heading1"/>
        <w:pageBreakBefore/>
      </w:pPr>
      <w:r>
        <w:t xml:space="preserve">Where to Go Next</w:t>
      </w:r>
    </w:p>
    <w:p>
      <w:pPr>
        <w:spacing w:after="140"/>
      </w:pPr>
      <w:r>
        <w:t xml:space="preserve">After completing this course, continue to apply your knowledge in your daily caregiving role. Regularly review the medication safety rights and common red flags. Practice recognizing medication forms and routes. Consistent application reinforces learning and builds confidence.</w:t>
      </w:r>
    </w:p>
    <w:p>
      <w:pPr>
        <w:spacing w:after="140"/>
      </w:pPr>
      <w:r>
        <w:t xml:space="preserve">Seek opportunities to observe and learn from experienced nurses or pharmacists. Stay informed about updates in medication guidelines and your state's scope-of-practice regulations. Consider discussing specific scenarios with your supervisor to deepen your understanding.</w:t>
      </w:r>
    </w:p>
    <w:p>
      <w:pPr>
        <w:spacing w:after="140"/>
      </w:pPr>
      <w:r>
        <w:t xml:space="preserve">To further your education, explore courses on specific medical conditions, advanced caregiving techniques, or basic pharmacology. Understanding common diseases and their treatments will provide valuable context for medication management. MegaCourse offers many related learning paths.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megacourse.app/courses/medication-basics-for-aides-and-caregivers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MEDICATION BASICS FOR AIDES &amp; CAREGIVERS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Medication Basics for Aides &amp; Caregivers - Study Guide</dc:title>
  <dc:creator>MegaCourse</dc:creator>
  <dc:description>Official MegaCourse study guide for Medication Basics for Aides &amp; Caregivers</dc:description>
  <cp:lastModifiedBy>Un-named</cp:lastModifiedBy>
  <cp:revision>1</cp:revision>
  <dcterms:created xsi:type="dcterms:W3CDTF">2026-07-14T11:06:50.823Z</dcterms:created>
  <dcterms:modified xsi:type="dcterms:W3CDTF">2026-07-14T11:06:50.823Z</dcterms:modified>
</cp:coreProperties>
</file>

<file path=docProps/custom.xml><?xml version="1.0" encoding="utf-8"?>
<Properties xmlns="http://schemas.openxmlformats.org/officeDocument/2006/custom-properties" xmlns:vt="http://schemas.openxmlformats.org/officeDocument/2006/docPropsVTypes"/>
</file>